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566B05C" w14:textId="77777777" w:rsidR="00E36830" w:rsidRPr="00E759F6" w:rsidRDefault="00E36830" w:rsidP="00E36830">
      <w:pPr>
        <w:jc w:val="both"/>
        <w:rPr>
          <w:lang w:val="es-ES_tradnl"/>
        </w:rPr>
      </w:pPr>
      <w:r w:rsidRPr="00E759F6">
        <w:rPr>
          <w:lang w:val="es-ES_tradnl"/>
        </w:rPr>
        <w:t xml:space="preserve">Resumen   </w:t>
      </w:r>
    </w:p>
    <w:p w14:paraId="0F889B22" w14:textId="6500CBBE" w:rsidR="00460930" w:rsidRPr="00E759F6" w:rsidRDefault="00E36830" w:rsidP="00E36830">
      <w:pPr>
        <w:jc w:val="both"/>
        <w:rPr>
          <w:lang w:val="es-ES_tradnl"/>
        </w:rPr>
      </w:pPr>
      <w:commentRangeStart w:id="0"/>
      <w:r w:rsidRPr="00E759F6">
        <w:rPr>
          <w:lang w:val="es-ES_tradnl"/>
        </w:rPr>
        <w:t>Desde la frontera la migración laboral se ve diferente</w:t>
      </w:r>
      <w:commentRangeEnd w:id="0"/>
      <w:r w:rsidRPr="00E759F6">
        <w:rPr>
          <w:rStyle w:val="Refdecomentario"/>
          <w:lang w:val="es-ES_tradnl"/>
        </w:rPr>
        <w:commentReference w:id="0"/>
      </w:r>
      <w:r w:rsidR="004A7083" w:rsidRPr="00E759F6">
        <w:rPr>
          <w:lang w:val="es-ES_tradnl"/>
        </w:rPr>
        <w:t xml:space="preserve"> </w:t>
      </w:r>
      <w:r w:rsidR="004A7083" w:rsidRPr="00E759F6">
        <w:rPr>
          <w:highlight w:val="magenta"/>
          <w:lang w:val="es-ES_tradnl"/>
        </w:rPr>
        <w:t>a diferencia de otras regiones no fronterizas</w:t>
      </w:r>
      <w:r w:rsidRPr="00E759F6">
        <w:rPr>
          <w:lang w:val="es-ES_tradnl"/>
        </w:rPr>
        <w:t>. La investigación analiza la migración de estudiantes de secundaria, preparatoria y universidad de Tijuana, Nogales y Ciudad Juárez quienes expresan mayoritariamente sus deseos de estudiar en México antes que emigrar a Estados Unidos para conseguir empleos, pero al mismo tiempo, en la misma proporción desean trabajar allá. Consideran que el escenario laboral en México no es muy promisorio. Se observa que la influencia familiar es importante para decidir emigrar. Los más jóvenes con experiencia de haber vivido en la Unión Americana, tienen el mayor porcentaje de deseos trabajar en aquel país, en mayor proporción los estudiantes de secundaria de Nogales, mientras que los universitarios Tijuanenses representan el grupo que menos lo desea.</w:t>
      </w:r>
    </w:p>
    <w:p w14:paraId="06B41570" w14:textId="77777777" w:rsidR="00E36830" w:rsidRPr="00E759F6" w:rsidRDefault="00E36830" w:rsidP="00E36830">
      <w:pPr>
        <w:jc w:val="both"/>
        <w:rPr>
          <w:lang w:val="es-ES_tradnl"/>
        </w:rPr>
      </w:pPr>
    </w:p>
    <w:p w14:paraId="45A71200" w14:textId="77777777" w:rsidR="00E36830" w:rsidRPr="00E759F6" w:rsidRDefault="00E36830" w:rsidP="00E36830">
      <w:pPr>
        <w:jc w:val="both"/>
        <w:rPr>
          <w:lang w:val="es-ES_tradnl"/>
        </w:rPr>
      </w:pPr>
      <w:r w:rsidRPr="00E759F6">
        <w:rPr>
          <w:lang w:val="es-ES_tradnl"/>
        </w:rPr>
        <w:t xml:space="preserve">En el párrafo </w:t>
      </w:r>
    </w:p>
    <w:p w14:paraId="356A5933" w14:textId="77777777" w:rsidR="00E36830" w:rsidRPr="00E759F6" w:rsidRDefault="00E36830" w:rsidP="00E36830">
      <w:pPr>
        <w:jc w:val="both"/>
        <w:rPr>
          <w:lang w:val="es-ES_tradnl"/>
        </w:rPr>
      </w:pPr>
    </w:p>
    <w:p w14:paraId="4BECD324" w14:textId="255A5EF2" w:rsidR="00E36830" w:rsidRPr="00E759F6" w:rsidRDefault="00E36830" w:rsidP="00E36830">
      <w:pPr>
        <w:jc w:val="both"/>
        <w:rPr>
          <w:lang w:val="es-ES_tradnl"/>
        </w:rPr>
      </w:pPr>
      <w:r w:rsidRPr="00E759F6">
        <w:rPr>
          <w:lang w:val="es-ES_tradnl"/>
        </w:rPr>
        <w:t>El presente trabajo averigua cómo los jóve</w:t>
      </w:r>
      <w:r w:rsidR="004A7083" w:rsidRPr="00E759F6">
        <w:rPr>
          <w:lang w:val="es-ES_tradnl"/>
        </w:rPr>
        <w:t xml:space="preserve">nes estudiantes de secundaria, </w:t>
      </w:r>
      <w:r w:rsidRPr="00E759F6">
        <w:rPr>
          <w:lang w:val="es-ES_tradnl"/>
        </w:rPr>
        <w:t xml:space="preserve">preparatoria y universidad en </w:t>
      </w:r>
      <w:commentRangeStart w:id="1"/>
      <w:r w:rsidRPr="00E759F6">
        <w:rPr>
          <w:lang w:val="es-ES_tradnl"/>
        </w:rPr>
        <w:t xml:space="preserve">tres </w:t>
      </w:r>
      <w:commentRangeEnd w:id="1"/>
      <w:r w:rsidRPr="00E759F6">
        <w:rPr>
          <w:rStyle w:val="Refdecomentario"/>
          <w:lang w:val="es-ES_tradnl"/>
        </w:rPr>
        <w:commentReference w:id="1"/>
      </w:r>
      <w:r w:rsidRPr="00E759F6">
        <w:rPr>
          <w:lang w:val="es-ES_tradnl"/>
        </w:rPr>
        <w:t xml:space="preserve">ciudades fronterizas del norte de México: </w:t>
      </w:r>
      <w:r w:rsidRPr="00E759F6">
        <w:rPr>
          <w:highlight w:val="magenta"/>
          <w:lang w:val="es-ES_tradnl"/>
        </w:rPr>
        <w:t xml:space="preserve">Tijuana, </w:t>
      </w:r>
      <w:r w:rsidR="004A7083" w:rsidRPr="00E759F6">
        <w:rPr>
          <w:highlight w:val="magenta"/>
          <w:lang w:val="es-ES_tradnl"/>
        </w:rPr>
        <w:t xml:space="preserve">en el estado de </w:t>
      </w:r>
      <w:r w:rsidRPr="00E759F6">
        <w:rPr>
          <w:highlight w:val="magenta"/>
          <w:lang w:val="es-ES_tradnl"/>
        </w:rPr>
        <w:t>Baja California, Nogal</w:t>
      </w:r>
      <w:r w:rsidR="004A7083" w:rsidRPr="00E759F6">
        <w:rPr>
          <w:highlight w:val="magenta"/>
          <w:lang w:val="es-ES_tradnl"/>
        </w:rPr>
        <w:t>es en el estado de Sonora y Ciudad Juárez en el estado de</w:t>
      </w:r>
      <w:r w:rsidRPr="00E759F6">
        <w:rPr>
          <w:highlight w:val="magenta"/>
          <w:lang w:val="es-ES_tradnl"/>
        </w:rPr>
        <w:t xml:space="preserve"> </w:t>
      </w:r>
      <w:commentRangeStart w:id="2"/>
      <w:r w:rsidRPr="00E759F6">
        <w:rPr>
          <w:highlight w:val="magenta"/>
          <w:lang w:val="es-ES_tradnl"/>
        </w:rPr>
        <w:t>Chihuahua</w:t>
      </w:r>
      <w:commentRangeEnd w:id="2"/>
      <w:r w:rsidR="004A7083" w:rsidRPr="00E759F6">
        <w:rPr>
          <w:rStyle w:val="Refdecomentario"/>
          <w:lang w:val="es-ES_tradnl"/>
        </w:rPr>
        <w:commentReference w:id="2"/>
      </w:r>
      <w:r w:rsidRPr="00E759F6">
        <w:rPr>
          <w:lang w:val="es-ES_tradnl"/>
        </w:rPr>
        <w:t>, ven la educación, la migración para conseguir futuros empleos, sobre su deseo de trabajar en Estados Unidos, así como el panorama laboral en México. Los estudiantes en estas tres ciudades fronterizas valoran la educación en México para conseguir un empleo futuro en Estados Unidos. Esto debe preocupar y ocupar a quienes siguen advirtiendo la pérdida de capital humano: actores gubernamentales, empresarios y académicos. Esto desde la región donde la relación con la economía estadounidense es cotidiana. Aquí la migración es menos intensa que en otras zonas del país. El Consejo Nacional de Población, CONAPO, considera a Baja California, Chihuahua y Sonora, estados fronterizos, regiones con densidad migratoria  media, a diferencia de otros estados como Zacatecas, Guanajuato, Michoacán o Nayarit, que no son fronterizos y son considerados como estados con alta densidad migratoria (CONAPO, 2010).</w:t>
      </w:r>
    </w:p>
    <w:p w14:paraId="576CEF35" w14:textId="77777777" w:rsidR="00E36830" w:rsidRPr="00E759F6" w:rsidRDefault="00E36830" w:rsidP="00E36830">
      <w:pPr>
        <w:jc w:val="both"/>
        <w:rPr>
          <w:lang w:val="es-ES_tradnl"/>
        </w:rPr>
      </w:pPr>
    </w:p>
    <w:p w14:paraId="0921AA03" w14:textId="77777777" w:rsidR="00E36830" w:rsidRPr="00E759F6" w:rsidRDefault="00E36830" w:rsidP="00E36830">
      <w:pPr>
        <w:jc w:val="both"/>
        <w:rPr>
          <w:lang w:val="es-ES_tradnl"/>
        </w:rPr>
      </w:pPr>
      <w:r w:rsidRPr="00E759F6">
        <w:rPr>
          <w:lang w:val="es-ES_tradnl"/>
        </w:rPr>
        <w:t xml:space="preserve">En el párrafo </w:t>
      </w:r>
    </w:p>
    <w:p w14:paraId="6B83DBD3" w14:textId="77777777" w:rsidR="00E36830" w:rsidRPr="00E759F6" w:rsidRDefault="00E36830" w:rsidP="00E36830">
      <w:pPr>
        <w:jc w:val="both"/>
        <w:rPr>
          <w:lang w:val="es-ES_tradnl"/>
        </w:rPr>
      </w:pPr>
      <w:r w:rsidRPr="00E759F6">
        <w:rPr>
          <w:lang w:val="es-ES_tradnl"/>
        </w:rPr>
        <w:t xml:space="preserve">Metodología, </w:t>
      </w:r>
    </w:p>
    <w:p w14:paraId="3C952A55" w14:textId="6C178602" w:rsidR="00E36830" w:rsidRPr="00E759F6" w:rsidRDefault="00E36830" w:rsidP="00695E6F">
      <w:pPr>
        <w:jc w:val="both"/>
        <w:rPr>
          <w:lang w:val="es-ES_tradnl"/>
        </w:rPr>
      </w:pPr>
      <w:r w:rsidRPr="00E759F6">
        <w:rPr>
          <w:lang w:val="es-ES_tradnl"/>
        </w:rPr>
        <w:t xml:space="preserve">Como estudio exploratorio, para entender los que piensan los estudiantes fronterizos con respecto a la educación, empleo y migración, se seleccionó </w:t>
      </w:r>
      <w:commentRangeStart w:id="3"/>
      <w:r w:rsidRPr="00E759F6">
        <w:rPr>
          <w:lang w:val="es-ES_tradnl"/>
        </w:rPr>
        <w:t xml:space="preserve">una muestra </w:t>
      </w:r>
      <w:commentRangeEnd w:id="3"/>
      <w:r w:rsidRPr="00E759F6">
        <w:rPr>
          <w:rStyle w:val="Refdecomentario"/>
          <w:lang w:val="es-ES_tradnl"/>
        </w:rPr>
        <w:commentReference w:id="3"/>
      </w:r>
      <w:r w:rsidRPr="00E759F6">
        <w:rPr>
          <w:lang w:val="es-ES_tradnl"/>
        </w:rPr>
        <w:t xml:space="preserve">representativa de alumnos en escuelas </w:t>
      </w:r>
      <w:r w:rsidR="0062079E" w:rsidRPr="00E759F6">
        <w:rPr>
          <w:highlight w:val="magenta"/>
          <w:lang w:val="es-ES_tradnl"/>
        </w:rPr>
        <w:t>públicas</w:t>
      </w:r>
      <w:r w:rsidR="0062079E" w:rsidRPr="00E759F6">
        <w:rPr>
          <w:lang w:val="es-ES_tradnl"/>
        </w:rPr>
        <w:t xml:space="preserve"> </w:t>
      </w:r>
      <w:r w:rsidRPr="00E759F6">
        <w:rPr>
          <w:lang w:val="es-ES_tradnl"/>
        </w:rPr>
        <w:t xml:space="preserve">de </w:t>
      </w:r>
      <w:commentRangeStart w:id="4"/>
      <w:r w:rsidRPr="00E759F6">
        <w:rPr>
          <w:lang w:val="es-ES_tradnl"/>
        </w:rPr>
        <w:t xml:space="preserve">secundaria, media superior y superior </w:t>
      </w:r>
      <w:commentRangeEnd w:id="4"/>
      <w:r w:rsidRPr="00E759F6">
        <w:rPr>
          <w:rStyle w:val="Refdecomentario"/>
          <w:lang w:val="es-ES_tradnl"/>
        </w:rPr>
        <w:commentReference w:id="4"/>
      </w:r>
      <w:commentRangeStart w:id="5"/>
      <w:r w:rsidRPr="00E759F6">
        <w:rPr>
          <w:lang w:val="es-ES_tradnl"/>
        </w:rPr>
        <w:t>en</w:t>
      </w:r>
      <w:commentRangeEnd w:id="5"/>
      <w:r w:rsidR="004A7083" w:rsidRPr="00E759F6">
        <w:rPr>
          <w:rStyle w:val="Refdecomentario"/>
          <w:lang w:val="es-ES_tradnl"/>
        </w:rPr>
        <w:commentReference w:id="5"/>
      </w:r>
      <w:r w:rsidRPr="00E759F6">
        <w:rPr>
          <w:lang w:val="es-ES_tradnl"/>
        </w:rPr>
        <w:t xml:space="preserve"> las ciudades de Nogales,</w:t>
      </w:r>
      <w:r w:rsidR="004A7083" w:rsidRPr="00E759F6">
        <w:rPr>
          <w:lang w:val="es-ES_tradnl"/>
        </w:rPr>
        <w:t xml:space="preserve"> Ciudad Juárez</w:t>
      </w:r>
      <w:r w:rsidRPr="00E759F6">
        <w:rPr>
          <w:lang w:val="es-ES_tradnl"/>
        </w:rPr>
        <w:t xml:space="preserve"> y Ti</w:t>
      </w:r>
      <w:r w:rsidR="004A7083" w:rsidRPr="00E759F6">
        <w:rPr>
          <w:lang w:val="es-ES_tradnl"/>
        </w:rPr>
        <w:t>juana</w:t>
      </w:r>
      <w:r w:rsidRPr="00E759F6">
        <w:rPr>
          <w:lang w:val="es-ES_tradnl"/>
        </w:rPr>
        <w:t xml:space="preserve">. La población para el estudio, está formada por alumnos que por alguna razón guardan relaciones de migración: nacieron en Estados Unidos, o vivieron, estudiaron, tienen familiares que viven o han vivido del otro lado de la frontera o fueron migrantes repatriados a México; para identificar nuestra población objeto de estudio, fue necesario identificar en cada una de las instituciones a jóvenes que cumplían con la anterior condición. Para el cálculo del tamaño de la muestra se tomó como base las cifras escolares 2010-2011, donde se registraron un total de 4 675 alumnos inscritos en los niveles medio superior y superior exclusivamente, de los cuales 2 </w:t>
      </w:r>
      <w:r w:rsidRPr="00E759F6">
        <w:rPr>
          <w:lang w:val="es-ES_tradnl"/>
        </w:rPr>
        <w:lastRenderedPageBreak/>
        <w:t>670 son hombres y 2 005 mujeres, en la tabla 1, se puede identificar, el número total de encuestados por ciudad y la manera en que dichos estudiantes estaban distribuidos en las diversas escuelas de nivel medio superior y superior. (Para el cálculo de la muestra, véase el anexo 1 al final).</w:t>
      </w:r>
    </w:p>
    <w:p w14:paraId="4185E24F" w14:textId="77777777" w:rsidR="00E36830" w:rsidRPr="00E759F6" w:rsidRDefault="00E36830" w:rsidP="00695E6F">
      <w:pPr>
        <w:jc w:val="both"/>
        <w:rPr>
          <w:lang w:val="es-ES_tradnl"/>
        </w:rPr>
      </w:pPr>
    </w:p>
    <w:p w14:paraId="4847CBF6" w14:textId="77777777" w:rsidR="00695E6F" w:rsidRPr="00E759F6" w:rsidRDefault="00695E6F" w:rsidP="00695E6F">
      <w:pPr>
        <w:jc w:val="both"/>
        <w:rPr>
          <w:b/>
          <w:lang w:val="es-ES_tradnl"/>
        </w:rPr>
      </w:pPr>
      <w:r w:rsidRPr="00E759F6">
        <w:rPr>
          <w:b/>
          <w:lang w:val="es-ES_tradnl"/>
        </w:rPr>
        <w:t xml:space="preserve">En el párrafo </w:t>
      </w:r>
    </w:p>
    <w:p w14:paraId="05687F5A" w14:textId="77777777" w:rsidR="00695E6F" w:rsidRPr="00E759F6" w:rsidRDefault="00695E6F" w:rsidP="00695E6F">
      <w:pPr>
        <w:jc w:val="both"/>
        <w:rPr>
          <w:lang w:val="es-ES_tradnl"/>
        </w:rPr>
      </w:pPr>
      <w:r w:rsidRPr="00E759F6">
        <w:rPr>
          <w:lang w:val="es-ES_tradnl"/>
        </w:rPr>
        <w:t>Desde la educación.</w:t>
      </w:r>
    </w:p>
    <w:p w14:paraId="14EA5127" w14:textId="2BA9D1F2" w:rsidR="00695E6F" w:rsidRPr="00E759F6" w:rsidRDefault="00695E6F" w:rsidP="00695E6F">
      <w:pPr>
        <w:jc w:val="both"/>
        <w:rPr>
          <w:lang w:val="es-ES_tradnl"/>
        </w:rPr>
      </w:pPr>
      <w:r w:rsidRPr="00E759F6">
        <w:rPr>
          <w:lang w:val="es-ES_tradnl"/>
        </w:rPr>
        <w:t>A nivel nacional, la educación pública y privada ha venido  incrementándose (</w:t>
      </w:r>
      <w:proofErr w:type="spellStart"/>
      <w:r w:rsidRPr="00E759F6">
        <w:rPr>
          <w:lang w:val="es-ES_tradnl"/>
        </w:rPr>
        <w:t>Giorguli</w:t>
      </w:r>
      <w:proofErr w:type="spellEnd"/>
      <w:r w:rsidRPr="00E759F6">
        <w:rPr>
          <w:lang w:val="es-ES_tradnl"/>
        </w:rPr>
        <w:t xml:space="preserve">, et al, 2010, Silva, García-García, y </w:t>
      </w:r>
      <w:proofErr w:type="spellStart"/>
      <w:r w:rsidRPr="00E759F6">
        <w:rPr>
          <w:lang w:val="es-ES_tradnl"/>
        </w:rPr>
        <w:t>Puhl</w:t>
      </w:r>
      <w:proofErr w:type="spellEnd"/>
      <w:r w:rsidRPr="00E759F6">
        <w:rPr>
          <w:lang w:val="es-ES_tradnl"/>
        </w:rPr>
        <w:t>, 2011). Por primera</w:t>
      </w:r>
      <w:r w:rsidR="004A27E6" w:rsidRPr="00E759F6">
        <w:rPr>
          <w:lang w:val="es-ES_tradnl"/>
        </w:rPr>
        <w:t xml:space="preserve"> vez , </w:t>
      </w:r>
      <w:r w:rsidR="004A27E6" w:rsidRPr="00E759F6">
        <w:rPr>
          <w:highlight w:val="magenta"/>
          <w:lang w:val="es-ES_tradnl"/>
        </w:rPr>
        <w:t>en 2010,</w:t>
      </w:r>
      <w:r w:rsidR="004A27E6" w:rsidRPr="00E759F6">
        <w:rPr>
          <w:lang w:val="es-ES_tradnl"/>
        </w:rPr>
        <w:t xml:space="preserve"> </w:t>
      </w:r>
      <w:r w:rsidRPr="00E759F6">
        <w:rPr>
          <w:lang w:val="es-ES_tradnl"/>
        </w:rPr>
        <w:t>la educación básica fue superior al 90 por ciento en todas las entidades de México, también se ha incrementado en</w:t>
      </w:r>
      <w:r w:rsidR="004A27E6" w:rsidRPr="00E759F6">
        <w:rPr>
          <w:lang w:val="es-ES_tradnl"/>
        </w:rPr>
        <w:t xml:space="preserve"> los niveles superiores (Vargas y </w:t>
      </w:r>
      <w:r w:rsidR="004A27E6" w:rsidRPr="00E759F6">
        <w:rPr>
          <w:rFonts w:cs="Times New Roman"/>
          <w:bCs/>
          <w:lang w:val="es-ES_tradnl"/>
        </w:rPr>
        <w:t>Cruz-Piñeiro,</w:t>
      </w:r>
      <w:r w:rsidRPr="00E759F6">
        <w:rPr>
          <w:lang w:val="es-ES_tradnl"/>
        </w:rPr>
        <w:t xml:space="preserve"> 2012</w:t>
      </w:r>
      <w:r w:rsidR="004A27E6" w:rsidRPr="00E759F6">
        <w:rPr>
          <w:lang w:val="es-ES_tradnl"/>
        </w:rPr>
        <w:t>: 4</w:t>
      </w:r>
      <w:r w:rsidRPr="00E759F6">
        <w:rPr>
          <w:lang w:val="es-ES_tradnl"/>
        </w:rPr>
        <w:t>). Sin embargo, existen diversos elementos que amenazan esa expansión, entre ellos la migración</w:t>
      </w:r>
      <w:r w:rsidR="004A27E6" w:rsidRPr="00E759F6">
        <w:rPr>
          <w:lang w:val="es-ES_tradnl"/>
        </w:rPr>
        <w:t>.</w:t>
      </w:r>
      <w:r w:rsidR="009F1ED8" w:rsidRPr="00E759F6">
        <w:rPr>
          <w:lang w:val="es-ES_tradnl"/>
        </w:rPr>
        <w:t xml:space="preserve"> </w:t>
      </w:r>
      <w:r w:rsidR="004A27E6" w:rsidRPr="00E759F6">
        <w:rPr>
          <w:highlight w:val="magenta"/>
          <w:lang w:val="es-ES_tradnl"/>
        </w:rPr>
        <w:t>P</w:t>
      </w:r>
      <w:r w:rsidR="009F1ED8" w:rsidRPr="00E759F6">
        <w:rPr>
          <w:highlight w:val="magenta"/>
          <w:lang w:val="es-ES_tradnl"/>
        </w:rPr>
        <w:t>or ejemplo, transcurrida la primera década del siglo, l</w:t>
      </w:r>
      <w:r w:rsidRPr="00E759F6">
        <w:rPr>
          <w:highlight w:val="magenta"/>
          <w:lang w:val="es-ES_tradnl"/>
        </w:rPr>
        <w:t xml:space="preserve">os niveles de educación entre los migrantes </w:t>
      </w:r>
      <w:r w:rsidR="00E91A79" w:rsidRPr="00E759F6">
        <w:rPr>
          <w:highlight w:val="magenta"/>
          <w:lang w:val="es-ES_tradnl"/>
        </w:rPr>
        <w:t>internos mexicanos</w:t>
      </w:r>
      <w:r w:rsidR="009F1ED8" w:rsidRPr="00E759F6">
        <w:rPr>
          <w:highlight w:val="magenta"/>
          <w:lang w:val="es-ES_tradnl"/>
        </w:rPr>
        <w:t xml:space="preserve"> </w:t>
      </w:r>
      <w:r w:rsidRPr="00E759F6">
        <w:rPr>
          <w:highlight w:val="magenta"/>
          <w:lang w:val="es-ES_tradnl"/>
        </w:rPr>
        <w:t xml:space="preserve">son más bajos </w:t>
      </w:r>
      <w:r w:rsidR="009F1ED8" w:rsidRPr="00E759F6">
        <w:rPr>
          <w:highlight w:val="magenta"/>
          <w:lang w:val="es-ES_tradnl"/>
        </w:rPr>
        <w:t>en comparación</w:t>
      </w:r>
      <w:r w:rsidRPr="00E759F6">
        <w:rPr>
          <w:highlight w:val="magenta"/>
          <w:lang w:val="es-ES_tradnl"/>
        </w:rPr>
        <w:t xml:space="preserve"> con los </w:t>
      </w:r>
      <w:r w:rsidR="004A27E6" w:rsidRPr="00E759F6">
        <w:rPr>
          <w:highlight w:val="magenta"/>
          <w:lang w:val="es-ES_tradnl"/>
        </w:rPr>
        <w:t xml:space="preserve">niveles de educación de los </w:t>
      </w:r>
      <w:r w:rsidRPr="00E759F6">
        <w:rPr>
          <w:highlight w:val="magenta"/>
          <w:lang w:val="es-ES_tradnl"/>
        </w:rPr>
        <w:t>jóvenes nacidos en la frontera norte (Vargas, 20</w:t>
      </w:r>
      <w:r w:rsidR="003601FC" w:rsidRPr="00E759F6">
        <w:rPr>
          <w:highlight w:val="magenta"/>
          <w:lang w:val="es-ES_tradnl"/>
        </w:rPr>
        <w:t>12</w:t>
      </w:r>
      <w:r w:rsidR="004A27E6" w:rsidRPr="00E759F6">
        <w:rPr>
          <w:highlight w:val="magenta"/>
          <w:lang w:val="es-ES_tradnl"/>
        </w:rPr>
        <w:t xml:space="preserve"> </w:t>
      </w:r>
      <w:r w:rsidRPr="00E759F6">
        <w:rPr>
          <w:highlight w:val="magenta"/>
          <w:lang w:val="es-ES_tradnl"/>
        </w:rPr>
        <w:t>).</w:t>
      </w:r>
    </w:p>
    <w:p w14:paraId="7C37F425" w14:textId="77777777" w:rsidR="00695E6F" w:rsidRPr="00E759F6" w:rsidRDefault="00695E6F" w:rsidP="00695E6F">
      <w:pPr>
        <w:jc w:val="both"/>
        <w:rPr>
          <w:lang w:val="es-ES_tradnl"/>
        </w:rPr>
      </w:pPr>
    </w:p>
    <w:p w14:paraId="217346E4" w14:textId="77777777" w:rsidR="00FD2C3F" w:rsidRPr="00E759F6" w:rsidRDefault="00FD2C3F" w:rsidP="00695E6F">
      <w:pPr>
        <w:jc w:val="both"/>
        <w:rPr>
          <w:lang w:val="es-ES_tradnl"/>
        </w:rPr>
      </w:pPr>
    </w:p>
    <w:p w14:paraId="5E73536C" w14:textId="7A94946C" w:rsidR="00FD2C3F" w:rsidRPr="00E759F6" w:rsidRDefault="00FD2C3F" w:rsidP="00695E6F">
      <w:pPr>
        <w:jc w:val="both"/>
        <w:rPr>
          <w:lang w:val="es-ES_tradnl"/>
        </w:rPr>
      </w:pPr>
      <w:r w:rsidRPr="00E759F6">
        <w:rPr>
          <w:lang w:val="es-ES_tradnl"/>
        </w:rPr>
        <w:t xml:space="preserve">En el párrafo </w:t>
      </w:r>
    </w:p>
    <w:p w14:paraId="73CCE080" w14:textId="508ACD5B" w:rsidR="00695E6F" w:rsidRPr="00E759F6" w:rsidRDefault="00B64C66" w:rsidP="00695E6F">
      <w:pPr>
        <w:jc w:val="both"/>
        <w:rPr>
          <w:lang w:val="es-ES_tradnl"/>
        </w:rPr>
      </w:pPr>
      <w:r w:rsidRPr="00E759F6">
        <w:rPr>
          <w:lang w:val="es-ES_tradnl"/>
        </w:rPr>
        <w:t xml:space="preserve">En relación a la teoría de la cultura de la migración (la influencia que ejerce el entorno para emigrar), de 390 alumnos que contestaron sobre su deseo o no de trabajar en Estados Unidos, su grado escolar </w:t>
      </w:r>
      <w:commentRangeStart w:id="6"/>
      <w:r w:rsidRPr="00E759F6">
        <w:rPr>
          <w:lang w:val="es-ES_tradnl"/>
        </w:rPr>
        <w:t>y si su padre o tutor ha trabajado en Estados Unidos</w:t>
      </w:r>
      <w:commentRangeEnd w:id="6"/>
      <w:r w:rsidRPr="00E759F6">
        <w:rPr>
          <w:rStyle w:val="Refdecomentario"/>
          <w:lang w:val="es-ES_tradnl"/>
        </w:rPr>
        <w:commentReference w:id="6"/>
      </w:r>
      <w:r w:rsidRPr="00E759F6">
        <w:rPr>
          <w:lang w:val="es-ES_tradnl"/>
        </w:rPr>
        <w:t xml:space="preserve">, </w:t>
      </w:r>
      <w:commentRangeStart w:id="7"/>
      <w:r w:rsidRPr="00E759F6">
        <w:rPr>
          <w:lang w:val="es-ES_tradnl"/>
        </w:rPr>
        <w:t>91</w:t>
      </w:r>
      <w:commentRangeEnd w:id="7"/>
      <w:r w:rsidR="00E93F97" w:rsidRPr="00E759F6">
        <w:rPr>
          <w:rStyle w:val="Refdecomentario"/>
          <w:lang w:val="es-ES_tradnl"/>
        </w:rPr>
        <w:commentReference w:id="7"/>
      </w:r>
      <w:r w:rsidRPr="00E759F6">
        <w:rPr>
          <w:lang w:val="es-ES_tradnl"/>
        </w:rPr>
        <w:t xml:space="preserve"> de 390, contestaron que si ha trabajado su padre o tutor, de estos el 68 por ciento desea trabajar también allá. La influencia se percibe. Esta influencia disminuye conforme aumenta el grado escolar. El 71 por ciento de los alumnos de secundaria con un tutor que ha trabajado en Estados Unidos, desea trabajar allá, también el 61 por ciento de los alumnos de preparatoria. Esta tendencia se rompe con los alumnos de universidad. De 6 alumnos que tienen padre o tutor que ha trabajado en Estados Unidos, 5 desean también laborar en aquel país.</w:t>
      </w:r>
    </w:p>
    <w:p w14:paraId="5293034E" w14:textId="77777777" w:rsidR="00E93F97" w:rsidRPr="00E759F6" w:rsidRDefault="00E93F97" w:rsidP="00695E6F">
      <w:pPr>
        <w:jc w:val="both"/>
        <w:rPr>
          <w:lang w:val="es-ES_tradnl"/>
        </w:rPr>
      </w:pPr>
    </w:p>
    <w:p w14:paraId="3BFF6300" w14:textId="77777777" w:rsidR="00FD2C3F" w:rsidRPr="00E759F6" w:rsidRDefault="00FD2C3F" w:rsidP="00695E6F">
      <w:pPr>
        <w:jc w:val="both"/>
        <w:rPr>
          <w:lang w:val="es-ES_tradnl"/>
        </w:rPr>
      </w:pPr>
    </w:p>
    <w:p w14:paraId="46C3BFE9" w14:textId="77777777" w:rsidR="00FD2C3F" w:rsidRPr="00E759F6" w:rsidRDefault="00FD2C3F" w:rsidP="00FD2C3F">
      <w:pPr>
        <w:jc w:val="both"/>
        <w:rPr>
          <w:b/>
          <w:lang w:val="es-ES_tradnl"/>
        </w:rPr>
      </w:pPr>
      <w:r w:rsidRPr="00E759F6">
        <w:rPr>
          <w:b/>
          <w:lang w:val="es-ES_tradnl"/>
        </w:rPr>
        <w:t xml:space="preserve">En las tablas hay que poner el año en el que se recabo la información </w:t>
      </w:r>
    </w:p>
    <w:p w14:paraId="5EA615CD" w14:textId="77777777" w:rsidR="00FD2C3F" w:rsidRPr="00E759F6" w:rsidRDefault="00FD2C3F" w:rsidP="00FD2C3F">
      <w:pPr>
        <w:jc w:val="both"/>
        <w:rPr>
          <w:lang w:val="es-ES_tradnl"/>
        </w:rPr>
      </w:pPr>
      <w:r w:rsidRPr="00E759F6">
        <w:rPr>
          <w:lang w:val="es-ES_tradnl"/>
        </w:rPr>
        <w:t>Los títulos de la gráficas no quedan claros, si se deriva de la investigación es mejor poner la pregunta como tal y agregar el año.</w:t>
      </w:r>
    </w:p>
    <w:p w14:paraId="249F303E" w14:textId="77777777" w:rsidR="00FD2C3F" w:rsidRPr="00E759F6" w:rsidRDefault="00FD2C3F" w:rsidP="00FD2C3F">
      <w:pPr>
        <w:jc w:val="both"/>
        <w:rPr>
          <w:lang w:val="es-ES_tradnl"/>
        </w:rPr>
      </w:pPr>
      <w:r w:rsidRPr="00E759F6">
        <w:rPr>
          <w:lang w:val="es-ES_tradnl"/>
        </w:rPr>
        <w:t xml:space="preserve">Para que sean estéticas las tablas quitar las barras de total por rubro </w:t>
      </w:r>
    </w:p>
    <w:p w14:paraId="4F85CEE4" w14:textId="77777777" w:rsidR="00FD2C3F" w:rsidRPr="00E759F6" w:rsidRDefault="00FD2C3F" w:rsidP="00695E6F">
      <w:pPr>
        <w:jc w:val="both"/>
        <w:rPr>
          <w:lang w:val="es-ES_tradnl"/>
        </w:rPr>
      </w:pPr>
    </w:p>
    <w:p w14:paraId="71F93D2C" w14:textId="66F43ED9" w:rsidR="002B42F0" w:rsidRPr="00E759F6" w:rsidRDefault="002B42F0" w:rsidP="00695E6F">
      <w:pPr>
        <w:jc w:val="both"/>
        <w:rPr>
          <w:lang w:val="es-ES_tradnl"/>
        </w:rPr>
      </w:pPr>
      <w:r w:rsidRPr="00E759F6">
        <w:rPr>
          <w:highlight w:val="magenta"/>
          <w:lang w:val="es-ES_tradnl"/>
        </w:rPr>
        <w:t>A continuación se anexan las gráficas corregidas conforme a las recomendaciones del comité</w:t>
      </w:r>
      <w:r w:rsidRPr="00E759F6">
        <w:rPr>
          <w:lang w:val="es-ES_tradnl"/>
        </w:rPr>
        <w:t xml:space="preserve"> </w:t>
      </w:r>
    </w:p>
    <w:p w14:paraId="0B44BC30" w14:textId="77777777" w:rsidR="002B42F0" w:rsidRPr="00E759F6" w:rsidRDefault="002B42F0" w:rsidP="00695E6F">
      <w:pPr>
        <w:jc w:val="both"/>
        <w:rPr>
          <w:lang w:val="es-ES_tradnl"/>
        </w:rPr>
      </w:pPr>
    </w:p>
    <w:p w14:paraId="431BFAA0" w14:textId="77777777" w:rsidR="002B42F0" w:rsidRPr="00E759F6" w:rsidRDefault="002B42F0" w:rsidP="00695E6F">
      <w:pPr>
        <w:jc w:val="both"/>
        <w:rPr>
          <w:lang w:val="es-ES_tradnl"/>
        </w:rPr>
      </w:pPr>
    </w:p>
    <w:p w14:paraId="4D7945E2" w14:textId="77777777" w:rsidR="002B42F0" w:rsidRPr="00E759F6" w:rsidRDefault="002B42F0" w:rsidP="002B42F0">
      <w:pPr>
        <w:rPr>
          <w:lang w:val="es-ES_tradnl"/>
        </w:rPr>
      </w:pPr>
      <w:r w:rsidRPr="00E759F6">
        <w:rPr>
          <w:noProof/>
          <w:lang w:val="es-ES_tradnl"/>
        </w:rPr>
        <w:drawing>
          <wp:inline distT="0" distB="0" distL="0" distR="0" wp14:anchorId="77EE7A4F" wp14:editId="12D7187F">
            <wp:extent cx="4572000" cy="2743200"/>
            <wp:effectExtent l="0" t="0" r="25400" b="25400"/>
            <wp:docPr id="1" name="Gráfic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14:paraId="407ADE5F" w14:textId="77777777" w:rsidR="002B42F0" w:rsidRPr="00E759F6" w:rsidRDefault="002B42F0" w:rsidP="002B42F0">
      <w:pPr>
        <w:rPr>
          <w:lang w:val="es-ES_tradnl"/>
        </w:rPr>
      </w:pPr>
    </w:p>
    <w:p w14:paraId="44B1B23C" w14:textId="77777777" w:rsidR="002B42F0" w:rsidRPr="00E759F6" w:rsidRDefault="002B42F0" w:rsidP="002B42F0">
      <w:pPr>
        <w:rPr>
          <w:lang w:val="es-ES_tradnl"/>
        </w:rPr>
      </w:pPr>
    </w:p>
    <w:p w14:paraId="700F8BD3" w14:textId="77777777" w:rsidR="002B42F0" w:rsidRPr="00E759F6" w:rsidRDefault="002B42F0" w:rsidP="002B42F0">
      <w:pPr>
        <w:rPr>
          <w:lang w:val="es-ES_tradnl"/>
        </w:rPr>
      </w:pPr>
      <w:r w:rsidRPr="00E759F6">
        <w:rPr>
          <w:noProof/>
          <w:lang w:val="es-ES_tradnl"/>
        </w:rPr>
        <w:drawing>
          <wp:inline distT="0" distB="0" distL="0" distR="0" wp14:anchorId="60D373E9" wp14:editId="35854188">
            <wp:extent cx="4572000" cy="2912533"/>
            <wp:effectExtent l="0" t="0" r="25400" b="34290"/>
            <wp:docPr id="2" name="Gráfico 2"/>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14:paraId="1F740A4D" w14:textId="77777777" w:rsidR="002B42F0" w:rsidRPr="00E759F6" w:rsidRDefault="002B42F0" w:rsidP="002B42F0">
      <w:pPr>
        <w:rPr>
          <w:lang w:val="es-ES_tradnl"/>
        </w:rPr>
      </w:pPr>
    </w:p>
    <w:p w14:paraId="41BBEE22" w14:textId="77777777" w:rsidR="002B42F0" w:rsidRPr="00E759F6" w:rsidRDefault="002B42F0" w:rsidP="002B42F0">
      <w:pPr>
        <w:rPr>
          <w:lang w:val="es-ES_tradnl"/>
        </w:rPr>
      </w:pPr>
      <w:r w:rsidRPr="00E759F6">
        <w:rPr>
          <w:noProof/>
          <w:lang w:val="es-ES_tradnl"/>
        </w:rPr>
        <w:lastRenderedPageBreak/>
        <w:drawing>
          <wp:inline distT="0" distB="0" distL="0" distR="0" wp14:anchorId="0471E3B6" wp14:editId="2039667B">
            <wp:extent cx="4572000" cy="2743200"/>
            <wp:effectExtent l="0" t="0" r="25400" b="25400"/>
            <wp:docPr id="3" name="Gráfico 3"/>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61AB7719" w14:textId="77777777" w:rsidR="002B42F0" w:rsidRPr="00E759F6" w:rsidRDefault="002B42F0" w:rsidP="002B42F0">
      <w:pPr>
        <w:rPr>
          <w:lang w:val="es-ES_tradnl"/>
        </w:rPr>
      </w:pPr>
    </w:p>
    <w:p w14:paraId="0A04F7BE" w14:textId="77777777" w:rsidR="002B42F0" w:rsidRPr="00E759F6" w:rsidRDefault="002B42F0" w:rsidP="002B42F0">
      <w:pPr>
        <w:rPr>
          <w:lang w:val="es-ES_tradnl"/>
        </w:rPr>
      </w:pPr>
      <w:r w:rsidRPr="00E759F6">
        <w:rPr>
          <w:noProof/>
          <w:lang w:val="es-ES_tradnl"/>
        </w:rPr>
        <w:drawing>
          <wp:inline distT="0" distB="0" distL="0" distR="0" wp14:anchorId="551D3A59" wp14:editId="5D5454FA">
            <wp:extent cx="4572000" cy="2743200"/>
            <wp:effectExtent l="0" t="0" r="25400" b="25400"/>
            <wp:docPr id="4" name="Gráfico 4"/>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7BA0D896" w14:textId="77777777" w:rsidR="002B42F0" w:rsidRPr="00E759F6" w:rsidRDefault="002B42F0" w:rsidP="002B42F0">
      <w:pPr>
        <w:rPr>
          <w:lang w:val="es-ES_tradnl"/>
        </w:rPr>
      </w:pPr>
    </w:p>
    <w:p w14:paraId="64A1E4E8" w14:textId="77777777" w:rsidR="002B42F0" w:rsidRPr="00E759F6" w:rsidRDefault="002B42F0" w:rsidP="002B42F0">
      <w:pPr>
        <w:rPr>
          <w:lang w:val="es-ES_tradnl"/>
        </w:rPr>
      </w:pPr>
      <w:r w:rsidRPr="00E759F6">
        <w:rPr>
          <w:noProof/>
          <w:lang w:val="es-ES_tradnl"/>
        </w:rPr>
        <w:lastRenderedPageBreak/>
        <w:drawing>
          <wp:inline distT="0" distB="0" distL="0" distR="0" wp14:anchorId="074CE333" wp14:editId="2BB4CFFB">
            <wp:extent cx="4572000" cy="2743200"/>
            <wp:effectExtent l="0" t="0" r="25400" b="25400"/>
            <wp:docPr id="5" name="Gráfico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31D78035" w14:textId="77777777" w:rsidR="002B42F0" w:rsidRPr="00E759F6" w:rsidRDefault="002B42F0" w:rsidP="002B42F0">
      <w:pPr>
        <w:rPr>
          <w:lang w:val="es-ES_tradnl"/>
        </w:rPr>
      </w:pPr>
    </w:p>
    <w:p w14:paraId="335E489F" w14:textId="77777777" w:rsidR="002B42F0" w:rsidRPr="00E759F6" w:rsidRDefault="002B42F0" w:rsidP="002B42F0">
      <w:pPr>
        <w:rPr>
          <w:lang w:val="es-ES_tradnl"/>
        </w:rPr>
      </w:pPr>
      <w:r w:rsidRPr="00E759F6">
        <w:rPr>
          <w:noProof/>
          <w:lang w:val="es-ES_tradnl"/>
        </w:rPr>
        <w:drawing>
          <wp:inline distT="0" distB="0" distL="0" distR="0" wp14:anchorId="529B895A" wp14:editId="33F1323D">
            <wp:extent cx="4597400" cy="2806700"/>
            <wp:effectExtent l="0" t="0" r="25400" b="12700"/>
            <wp:docPr id="6" name="Gráfico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4314CDA9" w14:textId="77777777" w:rsidR="002B42F0" w:rsidRPr="00E759F6" w:rsidRDefault="002B42F0" w:rsidP="002B42F0">
      <w:pPr>
        <w:rPr>
          <w:lang w:val="es-ES_tradnl"/>
        </w:rPr>
      </w:pPr>
    </w:p>
    <w:p w14:paraId="10229454" w14:textId="77777777" w:rsidR="002B42F0" w:rsidRPr="00E759F6" w:rsidRDefault="002B42F0" w:rsidP="002B42F0">
      <w:pPr>
        <w:rPr>
          <w:lang w:val="es-ES_tradnl"/>
        </w:rPr>
      </w:pPr>
      <w:r w:rsidRPr="00E759F6">
        <w:rPr>
          <w:noProof/>
          <w:lang w:val="es-ES_tradnl"/>
        </w:rPr>
        <w:lastRenderedPageBreak/>
        <w:drawing>
          <wp:inline distT="0" distB="0" distL="0" distR="0" wp14:anchorId="47212141" wp14:editId="5D05A54F">
            <wp:extent cx="4597400" cy="2777066"/>
            <wp:effectExtent l="0" t="0" r="25400" b="17145"/>
            <wp:docPr id="7" name="Gráfico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19A11C61" w14:textId="77777777" w:rsidR="002B42F0" w:rsidRPr="00E759F6" w:rsidRDefault="002B42F0" w:rsidP="002B42F0">
      <w:pPr>
        <w:rPr>
          <w:lang w:val="es-ES_tradnl"/>
        </w:rPr>
      </w:pPr>
    </w:p>
    <w:p w14:paraId="54CA821D" w14:textId="77777777" w:rsidR="002B42F0" w:rsidRPr="00E759F6" w:rsidRDefault="002B42F0" w:rsidP="002B42F0">
      <w:pPr>
        <w:rPr>
          <w:lang w:val="es-ES_tradnl"/>
        </w:rPr>
      </w:pPr>
      <w:r w:rsidRPr="00E759F6">
        <w:rPr>
          <w:noProof/>
          <w:lang w:val="es-ES_tradnl"/>
        </w:rPr>
        <w:drawing>
          <wp:inline distT="0" distB="0" distL="0" distR="0" wp14:anchorId="3CA3BAB7" wp14:editId="703ED159">
            <wp:extent cx="4593166" cy="2802466"/>
            <wp:effectExtent l="0" t="0" r="29845" b="17145"/>
            <wp:docPr id="8" name="Gráfico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bookmarkStart w:id="8" w:name="_GoBack"/>
      <w:bookmarkEnd w:id="8"/>
    </w:p>
    <w:p w14:paraId="236AA644" w14:textId="77777777" w:rsidR="002B42F0" w:rsidRPr="00E759F6" w:rsidRDefault="002B42F0" w:rsidP="00695E6F">
      <w:pPr>
        <w:jc w:val="both"/>
        <w:rPr>
          <w:lang w:val="es-ES_tradnl"/>
        </w:rPr>
      </w:pPr>
    </w:p>
    <w:sectPr w:rsidR="002B42F0" w:rsidRPr="00E759F6">
      <w:pgSz w:w="12240" w:h="15840"/>
      <w:pgMar w:top="1417" w:right="1701" w:bottom="1417" w:left="1701" w:header="708" w:footer="708" w:gutter="0"/>
      <w:cols w:space="708"/>
      <w:docGrid w:linePitch="360"/>
    </w:sectPr>
  </w:body>
</w:document>
</file>

<file path=word/comments.xml><?xml version="1.0" encoding="utf-8"?>
<w:comment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0" w:author="USUARIO" w:date="2016-05-26T14:57:00Z" w:initials="U">
    <w:p w14:paraId="0173CC33" w14:textId="77777777" w:rsidR="00E91A79" w:rsidRDefault="00E91A79">
      <w:pPr>
        <w:pStyle w:val="Textocomentario"/>
      </w:pPr>
      <w:r>
        <w:rPr>
          <w:rStyle w:val="Refdecomentario"/>
        </w:rPr>
        <w:annotationRef/>
      </w:r>
      <w:r>
        <w:rPr>
          <w:rStyle w:val="Refdecomentario"/>
        </w:rPr>
        <w:t>¿Con respecto a que?</w:t>
      </w:r>
    </w:p>
  </w:comment>
  <w:comment w:id="1" w:author="USUARIO" w:date="2016-05-26T15:00:00Z" w:initials="U">
    <w:p w14:paraId="526D70A1" w14:textId="77777777" w:rsidR="00E91A79" w:rsidRDefault="00E91A79">
      <w:pPr>
        <w:pStyle w:val="Textocomentario"/>
      </w:pPr>
      <w:r>
        <w:rPr>
          <w:rStyle w:val="Refdecomentario"/>
        </w:rPr>
        <w:annotationRef/>
      </w:r>
      <w:r>
        <w:t>Son tres pero enumera 6</w:t>
      </w:r>
    </w:p>
    <w:p w14:paraId="4B86C1DB" w14:textId="77777777" w:rsidR="00E91A79" w:rsidRDefault="00E91A79">
      <w:pPr>
        <w:pStyle w:val="Textocomentario"/>
      </w:pPr>
      <w:r>
        <w:t>Lo mismo a lo largo del trabajo, hay que acotar muy bien si son tres o seis o porque salta de tres a seis.</w:t>
      </w:r>
    </w:p>
  </w:comment>
  <w:comment w:id="2" w:author="David Rocha" w:date="2016-05-26T14:21:00Z" w:initials="DR">
    <w:p w14:paraId="4AA629D7" w14:textId="7003CE15" w:rsidR="00E91A79" w:rsidRDefault="00E91A79">
      <w:pPr>
        <w:pStyle w:val="Textocomentario"/>
      </w:pPr>
      <w:r>
        <w:rPr>
          <w:rStyle w:val="Refdecomentario"/>
        </w:rPr>
        <w:annotationRef/>
      </w:r>
      <w:r>
        <w:t>Las ciudades de tijuana, Nogales y Ciudad Juárez, está seguidas de sus respectivos estados.</w:t>
      </w:r>
    </w:p>
  </w:comment>
  <w:comment w:id="3" w:author="USUARIO" w:date="2016-05-26T15:04:00Z" w:initials="U">
    <w:p w14:paraId="0BC7CD0C" w14:textId="77777777" w:rsidR="00E91A79" w:rsidRDefault="00E91A79">
      <w:pPr>
        <w:pStyle w:val="Textocomentario"/>
      </w:pPr>
      <w:r>
        <w:rPr>
          <w:rStyle w:val="Refdecomentario"/>
        </w:rPr>
        <w:annotationRef/>
      </w:r>
      <w:r>
        <w:t>¿</w:t>
      </w:r>
      <w:r>
        <w:t xml:space="preserve">de qué? o ¿de dónde? </w:t>
      </w:r>
    </w:p>
    <w:p w14:paraId="0B11FAB6" w14:textId="77777777" w:rsidR="00E91A79" w:rsidRDefault="00E91A79">
      <w:pPr>
        <w:pStyle w:val="Textocomentario"/>
      </w:pPr>
      <w:r>
        <w:t>¿todo el sistema, solo públicas o privadas?</w:t>
      </w:r>
    </w:p>
  </w:comment>
  <w:comment w:id="4" w:author="USUARIO" w:date="2016-05-26T15:06:00Z" w:initials="U">
    <w:p w14:paraId="4BCBD82E" w14:textId="77777777" w:rsidR="00E91A79" w:rsidRDefault="00E91A79">
      <w:pPr>
        <w:pStyle w:val="Textocomentario"/>
      </w:pPr>
      <w:r>
        <w:rPr>
          <w:rStyle w:val="Refdecomentario"/>
        </w:rPr>
        <w:annotationRef/>
      </w:r>
      <w:r>
        <w:t>Se repite abajo</w:t>
      </w:r>
    </w:p>
  </w:comment>
  <w:comment w:id="5" w:author="David Rocha" w:date="2016-05-26T14:22:00Z" w:initials="DR">
    <w:p w14:paraId="4A69E2D0" w14:textId="78872BBF" w:rsidR="00E91A79" w:rsidRDefault="00E91A79">
      <w:pPr>
        <w:pStyle w:val="Textocomentario"/>
      </w:pPr>
      <w:r>
        <w:rPr>
          <w:rStyle w:val="Refdecomentario"/>
        </w:rPr>
        <w:annotationRef/>
      </w:r>
      <w:r>
        <w:t xml:space="preserve">Ya se eliminó la frase que estaba repetida </w:t>
      </w:r>
    </w:p>
  </w:comment>
  <w:comment w:id="6" w:author="USUARIO" w:date="2016-05-27T14:45:00Z" w:initials="U">
    <w:p w14:paraId="77F5064E" w14:textId="38574ADD" w:rsidR="00E91A79" w:rsidRPr="002B42F0" w:rsidRDefault="00E91A79">
      <w:pPr>
        <w:pStyle w:val="Textocomentario"/>
        <w:rPr>
          <w:sz w:val="16"/>
          <w:szCs w:val="16"/>
        </w:rPr>
      </w:pPr>
      <w:r>
        <w:rPr>
          <w:rStyle w:val="Refdecomentario"/>
        </w:rPr>
        <w:annotationRef/>
      </w:r>
      <w:r>
        <w:rPr>
          <w:rStyle w:val="Refdecomentario"/>
        </w:rPr>
        <w:t>No se trató</w:t>
      </w:r>
    </w:p>
  </w:comment>
  <w:comment w:id="7" w:author="David Rocha" w:date="2016-05-27T14:56:00Z" w:initials="DR">
    <w:p w14:paraId="6CF29ACE" w14:textId="38CEF6E4" w:rsidR="00E91A79" w:rsidRDefault="00E91A79">
      <w:pPr>
        <w:pStyle w:val="Textocomentario"/>
      </w:pPr>
      <w:r>
        <w:rPr>
          <w:rStyle w:val="Refdecomentario"/>
        </w:rPr>
        <w:annotationRef/>
      </w:r>
      <w:r>
        <w:t>En relación al anterior comentario, de que no se trato el tema, se escribe en el resumen que “</w:t>
      </w:r>
      <w:r>
        <w:rPr>
          <w:rFonts w:ascii="Times New Roman" w:hAnsi="Times New Roman" w:cs="Times New Roman"/>
          <w:bCs/>
          <w:sz w:val="24"/>
          <w:szCs w:val="24"/>
        </w:rPr>
        <w:t xml:space="preserve">Se observa que la influencia familiar es importante para decidir emigrar”, así mismo en la sección de teoría se escribe sobre cultura de la migracón. No se elaboro ninguna gráfica sobre los estudiantes que tienen un padre o tutor que ha trabajado en Estados Unidos. </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173CC33" w15:done="0"/>
  <w15:commentEx w15:paraId="4B86C1DB" w15:done="0"/>
  <w15:commentEx w15:paraId="0B11FAB6" w15:done="0"/>
  <w15:commentEx w15:paraId="4BCBD82E" w15:done="0"/>
  <w15:commentEx w15:paraId="66314229" w15:done="0"/>
  <w15:commentEx w15:paraId="0AC41CDA" w15:done="0"/>
  <w15:commentEx w15:paraId="209397A3" w15:done="0"/>
  <w15:commentEx w15:paraId="77F5064E"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Times New Roman">
    <w:panose1 w:val="02020603050405020304"/>
    <w:charset w:val="00"/>
    <w:family w:val="auto"/>
    <w:pitch w:val="variable"/>
    <w:sig w:usb0="E0002AFF" w:usb1="C0007841" w:usb2="00000009" w:usb3="00000000" w:csb0="000001FF" w:csb1="00000000"/>
  </w:font>
  <w:font w:name="Segoe UI">
    <w:altName w:val="Times New Roman"/>
    <w:charset w:val="00"/>
    <w:family w:val="swiss"/>
    <w:pitch w:val="variable"/>
    <w:sig w:usb0="E4002EFF" w:usb1="C000E47F"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Light">
    <w:panose1 w:val="020F0302020204030204"/>
    <w:charset w:val="00"/>
    <w:family w:val="auto"/>
    <w:pitch w:val="variable"/>
    <w:sig w:usb0="A00002EF" w:usb1="4000207B" w:usb2="00000000" w:usb3="00000000" w:csb0="0000009F" w:csb1="00000000"/>
  </w:font>
  <w:font w:name="ＭＳ 明朝">
    <w:charset w:val="4E"/>
    <w:family w:val="auto"/>
    <w:pitch w:val="variable"/>
    <w:sig w:usb0="E00002FF" w:usb1="6AC7FDFB" w:usb2="00000012" w:usb3="00000000" w:csb0="0002009F" w:csb1="00000000"/>
  </w:font>
</w:fonts>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USUARIO">
    <w15:presenceInfo w15:providerId="None" w15:userId="USUARIO"/>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12"/>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15D5"/>
    <w:rsid w:val="00191ED0"/>
    <w:rsid w:val="002B42F0"/>
    <w:rsid w:val="003601FC"/>
    <w:rsid w:val="00460930"/>
    <w:rsid w:val="004A27E6"/>
    <w:rsid w:val="004A7083"/>
    <w:rsid w:val="0062079E"/>
    <w:rsid w:val="00695E6F"/>
    <w:rsid w:val="008A15D5"/>
    <w:rsid w:val="009F1ED8"/>
    <w:rsid w:val="00B64C66"/>
    <w:rsid w:val="00E36830"/>
    <w:rsid w:val="00E759F6"/>
    <w:rsid w:val="00E91A79"/>
    <w:rsid w:val="00E93F97"/>
    <w:rsid w:val="00FD2C3F"/>
  </w:rsids>
  <m:mathPr>
    <m:mathFont m:val="Cambria Math"/>
    <m:brkBin m:val="before"/>
    <m:brkBinSub m:val="--"/>
    <m:smallFrac m:val="0"/>
    <m:dispDef/>
    <m:lMargin m:val="0"/>
    <m:rMargin m:val="0"/>
    <m:defJc m:val="centerGroup"/>
    <m:wrapIndent m:val="1440"/>
    <m:intLim m:val="subSup"/>
    <m:naryLim m:val="undOvr"/>
  </m:mathPr>
  <w:themeFontLang w:val="es-MX"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686965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Refdecomentario">
    <w:name w:val="annotation reference"/>
    <w:basedOn w:val="Fuentedeprrafopredeter"/>
    <w:uiPriority w:val="99"/>
    <w:semiHidden/>
    <w:unhideWhenUsed/>
    <w:rsid w:val="00E36830"/>
    <w:rPr>
      <w:sz w:val="16"/>
      <w:szCs w:val="16"/>
    </w:rPr>
  </w:style>
  <w:style w:type="paragraph" w:styleId="Textocomentario">
    <w:name w:val="annotation text"/>
    <w:basedOn w:val="Normal"/>
    <w:link w:val="TextocomentarioCar"/>
    <w:uiPriority w:val="99"/>
    <w:semiHidden/>
    <w:unhideWhenUsed/>
    <w:rsid w:val="00E36830"/>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E36830"/>
    <w:rPr>
      <w:sz w:val="20"/>
      <w:szCs w:val="20"/>
    </w:rPr>
  </w:style>
  <w:style w:type="paragraph" w:styleId="Asuntodelcomentario">
    <w:name w:val="annotation subject"/>
    <w:basedOn w:val="Textocomentario"/>
    <w:next w:val="Textocomentario"/>
    <w:link w:val="AsuntodelcomentarioCar"/>
    <w:uiPriority w:val="99"/>
    <w:semiHidden/>
    <w:unhideWhenUsed/>
    <w:rsid w:val="00E36830"/>
    <w:rPr>
      <w:b/>
      <w:bCs/>
    </w:rPr>
  </w:style>
  <w:style w:type="character" w:customStyle="1" w:styleId="AsuntodelcomentarioCar">
    <w:name w:val="Asunto del comentario Car"/>
    <w:basedOn w:val="TextocomentarioCar"/>
    <w:link w:val="Asuntodelcomentario"/>
    <w:uiPriority w:val="99"/>
    <w:semiHidden/>
    <w:rsid w:val="00E36830"/>
    <w:rPr>
      <w:b/>
      <w:bCs/>
      <w:sz w:val="20"/>
      <w:szCs w:val="20"/>
    </w:rPr>
  </w:style>
  <w:style w:type="paragraph" w:styleId="Textodeglobo">
    <w:name w:val="Balloon Text"/>
    <w:basedOn w:val="Normal"/>
    <w:link w:val="TextodegloboCar"/>
    <w:uiPriority w:val="99"/>
    <w:semiHidden/>
    <w:unhideWhenUsed/>
    <w:rsid w:val="00E36830"/>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E36830"/>
    <w:rPr>
      <w:rFonts w:ascii="Segoe UI" w:hAnsi="Segoe UI" w:cs="Segoe UI"/>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Refdecomentario">
    <w:name w:val="annotation reference"/>
    <w:basedOn w:val="Fuentedeprrafopredeter"/>
    <w:uiPriority w:val="99"/>
    <w:semiHidden/>
    <w:unhideWhenUsed/>
    <w:rsid w:val="00E36830"/>
    <w:rPr>
      <w:sz w:val="16"/>
      <w:szCs w:val="16"/>
    </w:rPr>
  </w:style>
  <w:style w:type="paragraph" w:styleId="Textocomentario">
    <w:name w:val="annotation text"/>
    <w:basedOn w:val="Normal"/>
    <w:link w:val="TextocomentarioCar"/>
    <w:uiPriority w:val="99"/>
    <w:semiHidden/>
    <w:unhideWhenUsed/>
    <w:rsid w:val="00E36830"/>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E36830"/>
    <w:rPr>
      <w:sz w:val="20"/>
      <w:szCs w:val="20"/>
    </w:rPr>
  </w:style>
  <w:style w:type="paragraph" w:styleId="Asuntodelcomentario">
    <w:name w:val="annotation subject"/>
    <w:basedOn w:val="Textocomentario"/>
    <w:next w:val="Textocomentario"/>
    <w:link w:val="AsuntodelcomentarioCar"/>
    <w:uiPriority w:val="99"/>
    <w:semiHidden/>
    <w:unhideWhenUsed/>
    <w:rsid w:val="00E36830"/>
    <w:rPr>
      <w:b/>
      <w:bCs/>
    </w:rPr>
  </w:style>
  <w:style w:type="character" w:customStyle="1" w:styleId="AsuntodelcomentarioCar">
    <w:name w:val="Asunto del comentario Car"/>
    <w:basedOn w:val="TextocomentarioCar"/>
    <w:link w:val="Asuntodelcomentario"/>
    <w:uiPriority w:val="99"/>
    <w:semiHidden/>
    <w:rsid w:val="00E36830"/>
    <w:rPr>
      <w:b/>
      <w:bCs/>
      <w:sz w:val="20"/>
      <w:szCs w:val="20"/>
    </w:rPr>
  </w:style>
  <w:style w:type="paragraph" w:styleId="Textodeglobo">
    <w:name w:val="Balloon Text"/>
    <w:basedOn w:val="Normal"/>
    <w:link w:val="TextodegloboCar"/>
    <w:uiPriority w:val="99"/>
    <w:semiHidden/>
    <w:unhideWhenUsed/>
    <w:rsid w:val="00E36830"/>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E3683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chart" Target="charts/chart6.xml"/><Relationship Id="rId12" Type="http://schemas.openxmlformats.org/officeDocument/2006/relationships/chart" Target="charts/chart7.xml"/><Relationship Id="rId13" Type="http://schemas.openxmlformats.org/officeDocument/2006/relationships/chart" Target="charts/chart8.xml"/><Relationship Id="rId14" Type="http://schemas.openxmlformats.org/officeDocument/2006/relationships/fontTable" Target="fontTable.xml"/><Relationship Id="rId15" Type="http://schemas.openxmlformats.org/officeDocument/2006/relationships/theme" Target="theme/theme1.xml"/><Relationship Id="rId16" Type="http://schemas.microsoft.com/office/2011/relationships/commentsExtended" Target="commentsExtended.xml"/><Relationship Id="rId17" Type="http://schemas.microsoft.com/office/2011/relationships/people" Target="people.xml"/><Relationship Id="rId1" Type="http://schemas.openxmlformats.org/officeDocument/2006/relationships/styles" Target="styles.xml"/><Relationship Id="rId2" Type="http://schemas.microsoft.com/office/2007/relationships/stylesWithEffects" Target="stylesWithEffect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comments" Target="comments.xml"/><Relationship Id="rId6" Type="http://schemas.openxmlformats.org/officeDocument/2006/relationships/chart" Target="charts/chart1.xml"/><Relationship Id="rId7" Type="http://schemas.openxmlformats.org/officeDocument/2006/relationships/chart" Target="charts/chart2.xml"/><Relationship Id="rId8" Type="http://schemas.openxmlformats.org/officeDocument/2006/relationships/chart" Target="charts/chart3.xml"/><Relationship Id="rId9" Type="http://schemas.openxmlformats.org/officeDocument/2006/relationships/chart" Target="charts/chart4.xml"/><Relationship Id="rId10" Type="http://schemas.openxmlformats.org/officeDocument/2006/relationships/chart" Target="charts/chart5.xml"/></Relationships>
</file>

<file path=word/charts/_rels/chart1.xml.rels><?xml version="1.0" encoding="UTF-8" standalone="yes"?>
<Relationships xmlns="http://schemas.openxmlformats.org/package/2006/relationships"><Relationship Id="rId1" Type="http://schemas.openxmlformats.org/officeDocument/2006/relationships/oleObject" Target="Macintosh%20HD:Users:davidrocha:Documents:Actividades%20ya%20realizadas%20:SONORA:PARA%20ESCRIBIR:CUADERNOS%20DE%20poblaci&#243;n,%20gr&#225;ficos%20.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Macintosh%20HD:Users:davidrocha:Documents:Actividades%20ya%20realizadas%20:SONORA:PARA%20ESCRIBIR:CUADERNOS%20DE%20poblaci&#243;n,%20gr&#225;ficos%20.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Macintosh%20HD:Users:davidrocha:Documents:Actividades%20ya%20realizadas%20:SONORA:PARA%20ESCRIBIR:CUADERNOS%20DE%20poblaci&#243;n,%20gr&#225;ficos%20.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Macintosh%20HD:Users:davidrocha:Documents:Actividades%20ya%20realizadas%20:SONORA:PARA%20ESCRIBIR:CUADERNOS%20DE%20poblaci&#243;n,%20gr&#225;ficos%20.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Macintosh%20HD:Users:davidrocha:Documents:Actividades%20ya%20realizadas%20:SONORA:PARA%20ESCRIBIR:CUADERNOS%20DE%20poblaci&#243;n,%20gr&#225;ficos%20.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Macintosh%20HD:Users:davidrocha:Documents:Actividades%20ya%20realizadas%20:SONORA:PARA%20ESCRIBIR:CUADERNOS%20DE%20poblaci&#243;n,%20gr&#225;ficos%20.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Macintosh%20HD:Users:davidrocha:Documents:Actividades%20ya%20realizadas%20:SONORA:PARA%20ESCRIBIR:CUADERNOS%20DE%20poblaci&#243;n,%20gr&#225;ficos%20.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Macintosh%20HD:Users:davidrocha:Documents:Actividades%20ya%20realizadas%20:SONORA:PARA%20ESCRIBIR:CUADERNOS%20DE%20poblaci&#243;n,%20gr&#225;ficos%20.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17"/>
    </mc:Choice>
    <mc:Fallback>
      <c:style val="17"/>
    </mc:Fallback>
  </mc:AlternateContent>
  <c:chart>
    <c:title>
      <c:tx>
        <c:rich>
          <a:bodyPr/>
          <a:lstStyle/>
          <a:p>
            <a:pPr>
              <a:defRPr/>
            </a:pPr>
            <a:r>
              <a:rPr lang="es-ES" sz="1200"/>
              <a:t>Gráfica1. ¿Emigrar a Estados</a:t>
            </a:r>
            <a:r>
              <a:rPr lang="es-ES" sz="1200" baseline="0"/>
              <a:t> Unidos no te garantiza empleo y estudiar si?, por grado escolar, Tijuana, Nogales y Cd. Juárez 2012. </a:t>
            </a:r>
            <a:endParaRPr lang="es-ES" sz="1200"/>
          </a:p>
        </c:rich>
      </c:tx>
      <c:layout/>
      <c:overlay val="0"/>
    </c:title>
    <c:autoTitleDeleted val="0"/>
    <c:plotArea>
      <c:layout/>
      <c:barChart>
        <c:barDir val="col"/>
        <c:grouping val="clustered"/>
        <c:varyColors val="0"/>
        <c:ser>
          <c:idx val="0"/>
          <c:order val="0"/>
          <c:tx>
            <c:strRef>
              <c:f>Hoja1!$B$6</c:f>
              <c:strCache>
                <c:ptCount val="1"/>
                <c:pt idx="0">
                  <c:v>VERDADERO</c:v>
                </c:pt>
              </c:strCache>
            </c:strRef>
          </c:tx>
          <c:invertIfNegative val="0"/>
          <c:cat>
            <c:strRef>
              <c:f>Hoja1!$C$5:$E$5</c:f>
              <c:strCache>
                <c:ptCount val="3"/>
                <c:pt idx="0">
                  <c:v>secundaria</c:v>
                </c:pt>
                <c:pt idx="1">
                  <c:v>preparatoria</c:v>
                </c:pt>
                <c:pt idx="2">
                  <c:v>universidad </c:v>
                </c:pt>
              </c:strCache>
            </c:strRef>
          </c:cat>
          <c:val>
            <c:numRef>
              <c:f>Hoja1!$C$6:$E$6</c:f>
              <c:numCache>
                <c:formatCode>General</c:formatCode>
                <c:ptCount val="3"/>
                <c:pt idx="0">
                  <c:v>159.0</c:v>
                </c:pt>
                <c:pt idx="1">
                  <c:v>104.0</c:v>
                </c:pt>
                <c:pt idx="2">
                  <c:v>24.0</c:v>
                </c:pt>
              </c:numCache>
            </c:numRef>
          </c:val>
        </c:ser>
        <c:ser>
          <c:idx val="1"/>
          <c:order val="1"/>
          <c:tx>
            <c:strRef>
              <c:f>Hoja1!$B$7</c:f>
              <c:strCache>
                <c:ptCount val="1"/>
                <c:pt idx="0">
                  <c:v>FALSO</c:v>
                </c:pt>
              </c:strCache>
            </c:strRef>
          </c:tx>
          <c:invertIfNegative val="0"/>
          <c:cat>
            <c:strRef>
              <c:f>Hoja1!$C$5:$E$5</c:f>
              <c:strCache>
                <c:ptCount val="3"/>
                <c:pt idx="0">
                  <c:v>secundaria</c:v>
                </c:pt>
                <c:pt idx="1">
                  <c:v>preparatoria</c:v>
                </c:pt>
                <c:pt idx="2">
                  <c:v>universidad </c:v>
                </c:pt>
              </c:strCache>
            </c:strRef>
          </c:cat>
          <c:val>
            <c:numRef>
              <c:f>Hoja1!$C$7:$E$7</c:f>
              <c:numCache>
                <c:formatCode>General</c:formatCode>
                <c:ptCount val="3"/>
                <c:pt idx="0">
                  <c:v>55.0</c:v>
                </c:pt>
                <c:pt idx="1">
                  <c:v>39.0</c:v>
                </c:pt>
                <c:pt idx="2">
                  <c:v>9.0</c:v>
                </c:pt>
              </c:numCache>
            </c:numRef>
          </c:val>
        </c:ser>
        <c:dLbls>
          <c:showLegendKey val="0"/>
          <c:showVal val="1"/>
          <c:showCatName val="0"/>
          <c:showSerName val="0"/>
          <c:showPercent val="0"/>
          <c:showBubbleSize val="0"/>
        </c:dLbls>
        <c:gapWidth val="150"/>
        <c:overlap val="-25"/>
        <c:axId val="2139738312"/>
        <c:axId val="2139741288"/>
      </c:barChart>
      <c:catAx>
        <c:axId val="2139738312"/>
        <c:scaling>
          <c:orientation val="minMax"/>
        </c:scaling>
        <c:delete val="0"/>
        <c:axPos val="b"/>
        <c:majorTickMark val="none"/>
        <c:minorTickMark val="none"/>
        <c:tickLblPos val="nextTo"/>
        <c:crossAx val="2139741288"/>
        <c:crosses val="autoZero"/>
        <c:auto val="1"/>
        <c:lblAlgn val="ctr"/>
        <c:lblOffset val="100"/>
        <c:noMultiLvlLbl val="0"/>
      </c:catAx>
      <c:valAx>
        <c:axId val="2139741288"/>
        <c:scaling>
          <c:orientation val="minMax"/>
        </c:scaling>
        <c:delete val="1"/>
        <c:axPos val="l"/>
        <c:numFmt formatCode="General" sourceLinked="1"/>
        <c:majorTickMark val="none"/>
        <c:minorTickMark val="none"/>
        <c:tickLblPos val="nextTo"/>
        <c:crossAx val="2139738312"/>
        <c:crosses val="autoZero"/>
        <c:crossBetween val="between"/>
      </c:valAx>
    </c:plotArea>
    <c:legend>
      <c:legendPos val="t"/>
      <c:layout/>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17"/>
    </mc:Choice>
    <mc:Fallback>
      <c:style val="17"/>
    </mc:Fallback>
  </mc:AlternateContent>
  <c:chart>
    <c:title>
      <c:tx>
        <c:rich>
          <a:bodyPr/>
          <a:lstStyle/>
          <a:p>
            <a:pPr>
              <a:defRPr/>
            </a:pPr>
            <a:r>
              <a:rPr lang="es-ES" sz="1200"/>
              <a:t>Gráfica</a:t>
            </a:r>
            <a:r>
              <a:rPr lang="es-ES" sz="1200" baseline="0"/>
              <a:t> 2. ¿Emigrara estados unidos no te garantiza empleo y estudiar si?, por lugar de nacimiento, Tijuana, Nogales y Cd. Juárez, 2012. </a:t>
            </a:r>
            <a:endParaRPr lang="es-ES" sz="1200"/>
          </a:p>
        </c:rich>
      </c:tx>
      <c:layout/>
      <c:overlay val="0"/>
    </c:title>
    <c:autoTitleDeleted val="0"/>
    <c:plotArea>
      <c:layout/>
      <c:barChart>
        <c:barDir val="col"/>
        <c:grouping val="clustered"/>
        <c:varyColors val="0"/>
        <c:ser>
          <c:idx val="0"/>
          <c:order val="0"/>
          <c:tx>
            <c:strRef>
              <c:f>Hoja1!$B$40</c:f>
              <c:strCache>
                <c:ptCount val="1"/>
                <c:pt idx="0">
                  <c:v>VERDADERO</c:v>
                </c:pt>
              </c:strCache>
            </c:strRef>
          </c:tx>
          <c:invertIfNegative val="0"/>
          <c:cat>
            <c:strRef>
              <c:f>Hoja1!$C$39:$E$39</c:f>
              <c:strCache>
                <c:ptCount val="3"/>
                <c:pt idx="0">
                  <c:v>frontera</c:v>
                </c:pt>
                <c:pt idx="1">
                  <c:v>E.U.</c:v>
                </c:pt>
                <c:pt idx="2">
                  <c:v>resto de México</c:v>
                </c:pt>
              </c:strCache>
            </c:strRef>
          </c:cat>
          <c:val>
            <c:numRef>
              <c:f>Hoja1!$C$40:$E$40</c:f>
              <c:numCache>
                <c:formatCode>General</c:formatCode>
                <c:ptCount val="3"/>
                <c:pt idx="0">
                  <c:v>217.0</c:v>
                </c:pt>
                <c:pt idx="1">
                  <c:v>42.0</c:v>
                </c:pt>
                <c:pt idx="2">
                  <c:v>38.0</c:v>
                </c:pt>
              </c:numCache>
            </c:numRef>
          </c:val>
        </c:ser>
        <c:ser>
          <c:idx val="1"/>
          <c:order val="1"/>
          <c:tx>
            <c:strRef>
              <c:f>Hoja1!$B$41</c:f>
              <c:strCache>
                <c:ptCount val="1"/>
                <c:pt idx="0">
                  <c:v>FALSO</c:v>
                </c:pt>
              </c:strCache>
            </c:strRef>
          </c:tx>
          <c:invertIfNegative val="0"/>
          <c:cat>
            <c:strRef>
              <c:f>Hoja1!$C$39:$E$39</c:f>
              <c:strCache>
                <c:ptCount val="3"/>
                <c:pt idx="0">
                  <c:v>frontera</c:v>
                </c:pt>
                <c:pt idx="1">
                  <c:v>E.U.</c:v>
                </c:pt>
                <c:pt idx="2">
                  <c:v>resto de México</c:v>
                </c:pt>
              </c:strCache>
            </c:strRef>
          </c:cat>
          <c:val>
            <c:numRef>
              <c:f>Hoja1!$C$41:$E$41</c:f>
              <c:numCache>
                <c:formatCode>General</c:formatCode>
                <c:ptCount val="3"/>
                <c:pt idx="0">
                  <c:v>73.0</c:v>
                </c:pt>
                <c:pt idx="1">
                  <c:v>19.0</c:v>
                </c:pt>
                <c:pt idx="2">
                  <c:v>9.0</c:v>
                </c:pt>
              </c:numCache>
            </c:numRef>
          </c:val>
        </c:ser>
        <c:dLbls>
          <c:showLegendKey val="0"/>
          <c:showVal val="1"/>
          <c:showCatName val="0"/>
          <c:showSerName val="0"/>
          <c:showPercent val="0"/>
          <c:showBubbleSize val="0"/>
        </c:dLbls>
        <c:gapWidth val="150"/>
        <c:overlap val="-25"/>
        <c:axId val="2139623224"/>
        <c:axId val="2139626200"/>
      </c:barChart>
      <c:catAx>
        <c:axId val="2139623224"/>
        <c:scaling>
          <c:orientation val="minMax"/>
        </c:scaling>
        <c:delete val="0"/>
        <c:axPos val="b"/>
        <c:majorTickMark val="none"/>
        <c:minorTickMark val="none"/>
        <c:tickLblPos val="nextTo"/>
        <c:crossAx val="2139626200"/>
        <c:crosses val="autoZero"/>
        <c:auto val="1"/>
        <c:lblAlgn val="ctr"/>
        <c:lblOffset val="100"/>
        <c:noMultiLvlLbl val="0"/>
      </c:catAx>
      <c:valAx>
        <c:axId val="2139626200"/>
        <c:scaling>
          <c:orientation val="minMax"/>
        </c:scaling>
        <c:delete val="1"/>
        <c:axPos val="l"/>
        <c:numFmt formatCode="General" sourceLinked="1"/>
        <c:majorTickMark val="none"/>
        <c:minorTickMark val="none"/>
        <c:tickLblPos val="nextTo"/>
        <c:crossAx val="2139623224"/>
        <c:crosses val="autoZero"/>
        <c:crossBetween val="between"/>
      </c:valAx>
    </c:plotArea>
    <c:legend>
      <c:legendPos val="t"/>
      <c:layout/>
      <c:overlay val="0"/>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17"/>
    </mc:Choice>
    <mc:Fallback>
      <c:style val="17"/>
    </mc:Fallback>
  </mc:AlternateContent>
  <c:chart>
    <c:title>
      <c:tx>
        <c:rich>
          <a:bodyPr/>
          <a:lstStyle/>
          <a:p>
            <a:pPr>
              <a:defRPr/>
            </a:pPr>
            <a:r>
              <a:rPr lang="es-ES" sz="1200"/>
              <a:t>Gráfica3. ¿Deseas trabajar</a:t>
            </a:r>
            <a:r>
              <a:rPr lang="es-ES" sz="1200" baseline="0"/>
              <a:t> en Estados Unidos?, por grado escolar, Tijuana, Nogales y Cd. Juárez, 2012.</a:t>
            </a:r>
            <a:endParaRPr lang="es-ES" sz="1200"/>
          </a:p>
        </c:rich>
      </c:tx>
      <c:layout/>
      <c:overlay val="0"/>
    </c:title>
    <c:autoTitleDeleted val="0"/>
    <c:plotArea>
      <c:layout/>
      <c:barChart>
        <c:barDir val="col"/>
        <c:grouping val="clustered"/>
        <c:varyColors val="0"/>
        <c:ser>
          <c:idx val="0"/>
          <c:order val="0"/>
          <c:tx>
            <c:strRef>
              <c:f>Hoja1!$B$65</c:f>
              <c:strCache>
                <c:ptCount val="1"/>
                <c:pt idx="0">
                  <c:v>VERDADERO</c:v>
                </c:pt>
              </c:strCache>
            </c:strRef>
          </c:tx>
          <c:invertIfNegative val="0"/>
          <c:cat>
            <c:strRef>
              <c:f>Hoja1!$C$64:$E$64</c:f>
              <c:strCache>
                <c:ptCount val="3"/>
                <c:pt idx="0">
                  <c:v>secundaria </c:v>
                </c:pt>
                <c:pt idx="1">
                  <c:v>preparatoria</c:v>
                </c:pt>
                <c:pt idx="2">
                  <c:v>universidad</c:v>
                </c:pt>
              </c:strCache>
            </c:strRef>
          </c:cat>
          <c:val>
            <c:numRef>
              <c:f>Hoja1!$C$65:$E$65</c:f>
              <c:numCache>
                <c:formatCode>General</c:formatCode>
                <c:ptCount val="3"/>
                <c:pt idx="0">
                  <c:v>148.0</c:v>
                </c:pt>
                <c:pt idx="1">
                  <c:v>89.0</c:v>
                </c:pt>
                <c:pt idx="2">
                  <c:v>13.0</c:v>
                </c:pt>
              </c:numCache>
            </c:numRef>
          </c:val>
        </c:ser>
        <c:ser>
          <c:idx val="1"/>
          <c:order val="1"/>
          <c:tx>
            <c:strRef>
              <c:f>Hoja1!$B$66</c:f>
              <c:strCache>
                <c:ptCount val="1"/>
                <c:pt idx="0">
                  <c:v>FALSO</c:v>
                </c:pt>
              </c:strCache>
            </c:strRef>
          </c:tx>
          <c:invertIfNegative val="0"/>
          <c:cat>
            <c:strRef>
              <c:f>Hoja1!$C$64:$E$64</c:f>
              <c:strCache>
                <c:ptCount val="3"/>
                <c:pt idx="0">
                  <c:v>secundaria </c:v>
                </c:pt>
                <c:pt idx="1">
                  <c:v>preparatoria</c:v>
                </c:pt>
                <c:pt idx="2">
                  <c:v>universidad</c:v>
                </c:pt>
              </c:strCache>
            </c:strRef>
          </c:cat>
          <c:val>
            <c:numRef>
              <c:f>Hoja1!$C$66:$E$66</c:f>
              <c:numCache>
                <c:formatCode>General</c:formatCode>
                <c:ptCount val="3"/>
                <c:pt idx="0">
                  <c:v>66.0</c:v>
                </c:pt>
                <c:pt idx="1">
                  <c:v>54.0</c:v>
                </c:pt>
                <c:pt idx="2">
                  <c:v>20.0</c:v>
                </c:pt>
              </c:numCache>
            </c:numRef>
          </c:val>
        </c:ser>
        <c:ser>
          <c:idx val="2"/>
          <c:order val="2"/>
          <c:tx>
            <c:strRef>
              <c:f>Hoja1!$B$67</c:f>
              <c:strCache>
                <c:ptCount val="1"/>
              </c:strCache>
            </c:strRef>
          </c:tx>
          <c:invertIfNegative val="0"/>
          <c:cat>
            <c:strRef>
              <c:f>Hoja1!$C$64:$E$64</c:f>
              <c:strCache>
                <c:ptCount val="3"/>
                <c:pt idx="0">
                  <c:v>secundaria </c:v>
                </c:pt>
                <c:pt idx="1">
                  <c:v>preparatoria</c:v>
                </c:pt>
                <c:pt idx="2">
                  <c:v>universidad</c:v>
                </c:pt>
              </c:strCache>
            </c:strRef>
          </c:cat>
          <c:val>
            <c:numRef>
              <c:f>Hoja1!$C$67:$E$67</c:f>
              <c:numCache>
                <c:formatCode>General</c:formatCode>
                <c:ptCount val="3"/>
              </c:numCache>
            </c:numRef>
          </c:val>
        </c:ser>
        <c:dLbls>
          <c:showLegendKey val="0"/>
          <c:showVal val="1"/>
          <c:showCatName val="0"/>
          <c:showSerName val="0"/>
          <c:showPercent val="0"/>
          <c:showBubbleSize val="0"/>
        </c:dLbls>
        <c:gapWidth val="150"/>
        <c:overlap val="-25"/>
        <c:axId val="2139532344"/>
        <c:axId val="2139530728"/>
      </c:barChart>
      <c:catAx>
        <c:axId val="2139532344"/>
        <c:scaling>
          <c:orientation val="minMax"/>
        </c:scaling>
        <c:delete val="0"/>
        <c:axPos val="b"/>
        <c:majorTickMark val="none"/>
        <c:minorTickMark val="none"/>
        <c:tickLblPos val="nextTo"/>
        <c:crossAx val="2139530728"/>
        <c:crosses val="autoZero"/>
        <c:auto val="1"/>
        <c:lblAlgn val="ctr"/>
        <c:lblOffset val="100"/>
        <c:noMultiLvlLbl val="0"/>
      </c:catAx>
      <c:valAx>
        <c:axId val="2139530728"/>
        <c:scaling>
          <c:orientation val="minMax"/>
        </c:scaling>
        <c:delete val="1"/>
        <c:axPos val="l"/>
        <c:numFmt formatCode="General" sourceLinked="1"/>
        <c:majorTickMark val="out"/>
        <c:minorTickMark val="none"/>
        <c:tickLblPos val="nextTo"/>
        <c:crossAx val="2139532344"/>
        <c:crosses val="autoZero"/>
        <c:crossBetween val="between"/>
      </c:valAx>
    </c:plotArea>
    <c:legend>
      <c:legendPos val="t"/>
      <c:layout/>
      <c:overlay val="0"/>
    </c:legend>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17"/>
    </mc:Choice>
    <mc:Fallback>
      <c:style val="17"/>
    </mc:Fallback>
  </mc:AlternateContent>
  <c:chart>
    <c:title>
      <c:tx>
        <c:rich>
          <a:bodyPr/>
          <a:lstStyle/>
          <a:p>
            <a:pPr>
              <a:defRPr/>
            </a:pPr>
            <a:r>
              <a:rPr lang="es-ES" sz="1200"/>
              <a:t>Gráfica 4. Relación entre desear</a:t>
            </a:r>
            <a:r>
              <a:rPr lang="es-ES" sz="1200" baseline="0"/>
              <a:t> o no trabajar en Estados Unidos y lugar de nacimiento, Tijuana, Nogales y Cd. Juárez 2012. </a:t>
            </a:r>
            <a:endParaRPr lang="es-ES" sz="1200"/>
          </a:p>
        </c:rich>
      </c:tx>
      <c:layout/>
      <c:overlay val="0"/>
    </c:title>
    <c:autoTitleDeleted val="0"/>
    <c:plotArea>
      <c:layout/>
      <c:barChart>
        <c:barDir val="col"/>
        <c:grouping val="clustered"/>
        <c:varyColors val="0"/>
        <c:ser>
          <c:idx val="0"/>
          <c:order val="0"/>
          <c:tx>
            <c:strRef>
              <c:f>Hoja1!$B$91</c:f>
              <c:strCache>
                <c:ptCount val="1"/>
                <c:pt idx="0">
                  <c:v>Deseo trabajar en E.U.</c:v>
                </c:pt>
              </c:strCache>
            </c:strRef>
          </c:tx>
          <c:invertIfNegative val="0"/>
          <c:cat>
            <c:strRef>
              <c:f>Hoja1!$C$90:$E$90</c:f>
              <c:strCache>
                <c:ptCount val="3"/>
                <c:pt idx="0">
                  <c:v>frontera</c:v>
                </c:pt>
                <c:pt idx="1">
                  <c:v>E.U.</c:v>
                </c:pt>
                <c:pt idx="2">
                  <c:v>resto de México</c:v>
                </c:pt>
              </c:strCache>
            </c:strRef>
          </c:cat>
          <c:val>
            <c:numRef>
              <c:f>Hoja1!$C$91:$E$91</c:f>
              <c:numCache>
                <c:formatCode>General</c:formatCode>
                <c:ptCount val="3"/>
                <c:pt idx="0">
                  <c:v>169.0</c:v>
                </c:pt>
                <c:pt idx="1">
                  <c:v>56.0</c:v>
                </c:pt>
                <c:pt idx="2">
                  <c:v>30.0</c:v>
                </c:pt>
              </c:numCache>
            </c:numRef>
          </c:val>
        </c:ser>
        <c:ser>
          <c:idx val="1"/>
          <c:order val="1"/>
          <c:tx>
            <c:strRef>
              <c:f>Hoja1!$B$92</c:f>
              <c:strCache>
                <c:ptCount val="1"/>
                <c:pt idx="0">
                  <c:v>No deseo trabajar en E.U.</c:v>
                </c:pt>
              </c:strCache>
            </c:strRef>
          </c:tx>
          <c:invertIfNegative val="0"/>
          <c:cat>
            <c:strRef>
              <c:f>Hoja1!$C$90:$E$90</c:f>
              <c:strCache>
                <c:ptCount val="3"/>
                <c:pt idx="0">
                  <c:v>frontera</c:v>
                </c:pt>
                <c:pt idx="1">
                  <c:v>E.U.</c:v>
                </c:pt>
                <c:pt idx="2">
                  <c:v>resto de México</c:v>
                </c:pt>
              </c:strCache>
            </c:strRef>
          </c:cat>
          <c:val>
            <c:numRef>
              <c:f>Hoja1!$C$92:$E$92</c:f>
              <c:numCache>
                <c:formatCode>General</c:formatCode>
                <c:ptCount val="3"/>
                <c:pt idx="0">
                  <c:v>121.0</c:v>
                </c:pt>
                <c:pt idx="1">
                  <c:v>5.0</c:v>
                </c:pt>
                <c:pt idx="2">
                  <c:v>19.0</c:v>
                </c:pt>
              </c:numCache>
            </c:numRef>
          </c:val>
        </c:ser>
        <c:dLbls>
          <c:showLegendKey val="0"/>
          <c:showVal val="1"/>
          <c:showCatName val="0"/>
          <c:showSerName val="0"/>
          <c:showPercent val="0"/>
          <c:showBubbleSize val="0"/>
        </c:dLbls>
        <c:gapWidth val="150"/>
        <c:overlap val="-25"/>
        <c:axId val="2131362216"/>
        <c:axId val="2144987512"/>
      </c:barChart>
      <c:catAx>
        <c:axId val="2131362216"/>
        <c:scaling>
          <c:orientation val="minMax"/>
        </c:scaling>
        <c:delete val="0"/>
        <c:axPos val="b"/>
        <c:majorTickMark val="none"/>
        <c:minorTickMark val="none"/>
        <c:tickLblPos val="nextTo"/>
        <c:crossAx val="2144987512"/>
        <c:crosses val="autoZero"/>
        <c:auto val="1"/>
        <c:lblAlgn val="ctr"/>
        <c:lblOffset val="100"/>
        <c:noMultiLvlLbl val="0"/>
      </c:catAx>
      <c:valAx>
        <c:axId val="2144987512"/>
        <c:scaling>
          <c:orientation val="minMax"/>
        </c:scaling>
        <c:delete val="1"/>
        <c:axPos val="l"/>
        <c:numFmt formatCode="General" sourceLinked="1"/>
        <c:majorTickMark val="out"/>
        <c:minorTickMark val="none"/>
        <c:tickLblPos val="nextTo"/>
        <c:crossAx val="2131362216"/>
        <c:crosses val="autoZero"/>
        <c:crossBetween val="between"/>
      </c:valAx>
    </c:plotArea>
    <c:legend>
      <c:legendPos val="t"/>
      <c:layout/>
      <c:overlay val="0"/>
    </c:legend>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17"/>
    </mc:Choice>
    <mc:Fallback>
      <c:style val="17"/>
    </mc:Fallback>
  </mc:AlternateContent>
  <c:chart>
    <c:title>
      <c:tx>
        <c:rich>
          <a:bodyPr/>
          <a:lstStyle/>
          <a:p>
            <a:pPr>
              <a:defRPr/>
            </a:pPr>
            <a:r>
              <a:rPr lang="es-ES" sz="1200"/>
              <a:t>Gráfica 5. ¿En México hay posibilidades de empleo y en Estados Unidos no?, por grado escolar, Tijuana, Nogales y Cd.</a:t>
            </a:r>
            <a:r>
              <a:rPr lang="es-ES" sz="1200" baseline="0"/>
              <a:t> Juárez 2012. </a:t>
            </a:r>
            <a:endParaRPr lang="es-ES" sz="1200"/>
          </a:p>
        </c:rich>
      </c:tx>
      <c:layout/>
      <c:overlay val="0"/>
    </c:title>
    <c:autoTitleDeleted val="0"/>
    <c:plotArea>
      <c:layout/>
      <c:barChart>
        <c:barDir val="col"/>
        <c:grouping val="clustered"/>
        <c:varyColors val="0"/>
        <c:ser>
          <c:idx val="0"/>
          <c:order val="0"/>
          <c:tx>
            <c:strRef>
              <c:f>Hoja1!$A$118</c:f>
              <c:strCache>
                <c:ptCount val="1"/>
                <c:pt idx="0">
                  <c:v>VERDADERO</c:v>
                </c:pt>
              </c:strCache>
            </c:strRef>
          </c:tx>
          <c:invertIfNegative val="0"/>
          <c:cat>
            <c:strRef>
              <c:f>Hoja1!$B$117:$D$117</c:f>
              <c:strCache>
                <c:ptCount val="3"/>
                <c:pt idx="0">
                  <c:v>secundaria </c:v>
                </c:pt>
                <c:pt idx="1">
                  <c:v>preparatoria</c:v>
                </c:pt>
                <c:pt idx="2">
                  <c:v>universidad</c:v>
                </c:pt>
              </c:strCache>
            </c:strRef>
          </c:cat>
          <c:val>
            <c:numRef>
              <c:f>Hoja1!$B$118:$D$118</c:f>
              <c:numCache>
                <c:formatCode>General</c:formatCode>
                <c:ptCount val="3"/>
                <c:pt idx="0">
                  <c:v>55.0</c:v>
                </c:pt>
                <c:pt idx="1">
                  <c:v>37.0</c:v>
                </c:pt>
                <c:pt idx="2">
                  <c:v>11.0</c:v>
                </c:pt>
              </c:numCache>
            </c:numRef>
          </c:val>
        </c:ser>
        <c:ser>
          <c:idx val="1"/>
          <c:order val="1"/>
          <c:tx>
            <c:strRef>
              <c:f>Hoja1!$A$119</c:f>
              <c:strCache>
                <c:ptCount val="1"/>
                <c:pt idx="0">
                  <c:v>FALSO</c:v>
                </c:pt>
              </c:strCache>
            </c:strRef>
          </c:tx>
          <c:invertIfNegative val="0"/>
          <c:cat>
            <c:strRef>
              <c:f>Hoja1!$B$117:$D$117</c:f>
              <c:strCache>
                <c:ptCount val="3"/>
                <c:pt idx="0">
                  <c:v>secundaria </c:v>
                </c:pt>
                <c:pt idx="1">
                  <c:v>preparatoria</c:v>
                </c:pt>
                <c:pt idx="2">
                  <c:v>universidad</c:v>
                </c:pt>
              </c:strCache>
            </c:strRef>
          </c:cat>
          <c:val>
            <c:numRef>
              <c:f>Hoja1!$B$119:$D$119</c:f>
              <c:numCache>
                <c:formatCode>General</c:formatCode>
                <c:ptCount val="3"/>
                <c:pt idx="0">
                  <c:v>159.0</c:v>
                </c:pt>
                <c:pt idx="1">
                  <c:v>106.0</c:v>
                </c:pt>
                <c:pt idx="2">
                  <c:v>22.0</c:v>
                </c:pt>
              </c:numCache>
            </c:numRef>
          </c:val>
        </c:ser>
        <c:dLbls>
          <c:showLegendKey val="0"/>
          <c:showVal val="1"/>
          <c:showCatName val="0"/>
          <c:showSerName val="0"/>
          <c:showPercent val="0"/>
          <c:showBubbleSize val="0"/>
        </c:dLbls>
        <c:gapWidth val="150"/>
        <c:overlap val="-25"/>
        <c:axId val="2139448792"/>
        <c:axId val="2139445144"/>
      </c:barChart>
      <c:catAx>
        <c:axId val="2139448792"/>
        <c:scaling>
          <c:orientation val="minMax"/>
        </c:scaling>
        <c:delete val="0"/>
        <c:axPos val="b"/>
        <c:majorTickMark val="none"/>
        <c:minorTickMark val="none"/>
        <c:tickLblPos val="nextTo"/>
        <c:crossAx val="2139445144"/>
        <c:crosses val="autoZero"/>
        <c:auto val="1"/>
        <c:lblAlgn val="ctr"/>
        <c:lblOffset val="100"/>
        <c:noMultiLvlLbl val="0"/>
      </c:catAx>
      <c:valAx>
        <c:axId val="2139445144"/>
        <c:scaling>
          <c:orientation val="minMax"/>
        </c:scaling>
        <c:delete val="1"/>
        <c:axPos val="l"/>
        <c:numFmt formatCode="General" sourceLinked="1"/>
        <c:majorTickMark val="out"/>
        <c:minorTickMark val="none"/>
        <c:tickLblPos val="nextTo"/>
        <c:crossAx val="2139448792"/>
        <c:crosses val="autoZero"/>
        <c:crossBetween val="between"/>
      </c:valAx>
    </c:plotArea>
    <c:legend>
      <c:legendPos val="t"/>
      <c:layout/>
      <c:overlay val="0"/>
    </c:legend>
    <c:plotVisOnly val="1"/>
    <c:dispBlanksAs val="gap"/>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17"/>
    </mc:Choice>
    <mc:Fallback>
      <c:style val="17"/>
    </mc:Fallback>
  </mc:AlternateContent>
  <c:chart>
    <c:title>
      <c:tx>
        <c:rich>
          <a:bodyPr/>
          <a:lstStyle/>
          <a:p>
            <a:pPr marL="0" marR="0" indent="0" algn="ctr" defTabSz="914400" rtl="0" eaLnBrk="1" fontAlgn="auto" latinLnBrk="0" hangingPunct="1">
              <a:lnSpc>
                <a:spcPct val="100000"/>
              </a:lnSpc>
              <a:spcBef>
                <a:spcPts val="0"/>
              </a:spcBef>
              <a:spcAft>
                <a:spcPts val="0"/>
              </a:spcAft>
              <a:buClrTx/>
              <a:buSzTx/>
              <a:buFontTx/>
              <a:buNone/>
              <a:tabLst/>
              <a:defRPr sz="1800" b="1" i="0" u="none" strike="noStrike" kern="1200" baseline="0">
                <a:solidFill>
                  <a:sysClr val="windowText" lastClr="000000"/>
                </a:solidFill>
                <a:latin typeface="+mn-lt"/>
                <a:ea typeface="+mn-ea"/>
                <a:cs typeface="+mn-cs"/>
              </a:defRPr>
            </a:pPr>
            <a:r>
              <a:rPr lang="es-ES" sz="1200">
                <a:latin typeface="Times New Roman"/>
                <a:cs typeface="Times New Roman"/>
              </a:rPr>
              <a:t>Gráfica 6. porcentajes de respuestas afirmativas sobre  estudiar y posibilidades de empleo en México</a:t>
            </a:r>
            <a:r>
              <a:rPr lang="es-ES" sz="1200" baseline="0">
                <a:latin typeface="Times New Roman"/>
                <a:cs typeface="Times New Roman"/>
              </a:rPr>
              <a:t> y deseos de trabajar en Estados Unidos,  por grado escolar, </a:t>
            </a:r>
            <a:r>
              <a:rPr lang="es-ES" sz="1200" b="1" i="0" baseline="0">
                <a:effectLst/>
                <a:latin typeface="Times New Roman"/>
                <a:cs typeface="Times New Roman"/>
              </a:rPr>
              <a:t>Tijuana, Nogales, Cd. Juárez 2012.</a:t>
            </a:r>
            <a:endParaRPr lang="es-ES"/>
          </a:p>
        </c:rich>
      </c:tx>
      <c:layout/>
      <c:overlay val="0"/>
    </c:title>
    <c:autoTitleDeleted val="0"/>
    <c:plotArea>
      <c:layout/>
      <c:barChart>
        <c:barDir val="col"/>
        <c:grouping val="clustered"/>
        <c:varyColors val="0"/>
        <c:ser>
          <c:idx val="0"/>
          <c:order val="0"/>
          <c:tx>
            <c:strRef>
              <c:f>Hoja1!$A$144</c:f>
              <c:strCache>
                <c:ptCount val="1"/>
                <c:pt idx="0">
                  <c:v>¿Emigrar a E. U. No te garantiza empleo y estudiar si ? (verdadero)</c:v>
                </c:pt>
              </c:strCache>
            </c:strRef>
          </c:tx>
          <c:invertIfNegative val="0"/>
          <c:cat>
            <c:strRef>
              <c:f>Hoja1!$B$143:$D$143</c:f>
              <c:strCache>
                <c:ptCount val="3"/>
                <c:pt idx="0">
                  <c:v>secundaria </c:v>
                </c:pt>
                <c:pt idx="1">
                  <c:v>preparatoria</c:v>
                </c:pt>
                <c:pt idx="2">
                  <c:v>universidad</c:v>
                </c:pt>
              </c:strCache>
            </c:strRef>
          </c:cat>
          <c:val>
            <c:numRef>
              <c:f>Hoja1!$B$144:$D$144</c:f>
              <c:numCache>
                <c:formatCode>General</c:formatCode>
                <c:ptCount val="3"/>
                <c:pt idx="0">
                  <c:v>74.0</c:v>
                </c:pt>
                <c:pt idx="1">
                  <c:v>72.0</c:v>
                </c:pt>
                <c:pt idx="2">
                  <c:v>72.0</c:v>
                </c:pt>
              </c:numCache>
            </c:numRef>
          </c:val>
        </c:ser>
        <c:ser>
          <c:idx val="1"/>
          <c:order val="1"/>
          <c:tx>
            <c:strRef>
              <c:f>Hoja1!$A$145</c:f>
              <c:strCache>
                <c:ptCount val="1"/>
                <c:pt idx="0">
                  <c:v>¿Deseas trabajar en E. U.?  (verdadero)</c:v>
                </c:pt>
              </c:strCache>
            </c:strRef>
          </c:tx>
          <c:invertIfNegative val="0"/>
          <c:cat>
            <c:strRef>
              <c:f>Hoja1!$B$143:$D$143</c:f>
              <c:strCache>
                <c:ptCount val="3"/>
                <c:pt idx="0">
                  <c:v>secundaria </c:v>
                </c:pt>
                <c:pt idx="1">
                  <c:v>preparatoria</c:v>
                </c:pt>
                <c:pt idx="2">
                  <c:v>universidad</c:v>
                </c:pt>
              </c:strCache>
            </c:strRef>
          </c:cat>
          <c:val>
            <c:numRef>
              <c:f>Hoja1!$B$145:$D$145</c:f>
              <c:numCache>
                <c:formatCode>General</c:formatCode>
                <c:ptCount val="3"/>
                <c:pt idx="0">
                  <c:v>69.0</c:v>
                </c:pt>
                <c:pt idx="1">
                  <c:v>62.0</c:v>
                </c:pt>
                <c:pt idx="2">
                  <c:v>39.0</c:v>
                </c:pt>
              </c:numCache>
            </c:numRef>
          </c:val>
        </c:ser>
        <c:ser>
          <c:idx val="2"/>
          <c:order val="2"/>
          <c:tx>
            <c:strRef>
              <c:f>Hoja1!$A$146</c:f>
              <c:strCache>
                <c:ptCount val="1"/>
                <c:pt idx="0">
                  <c:v>¿En México hay posibilidades de empleo y en E.U. No?  (verdadero)</c:v>
                </c:pt>
              </c:strCache>
            </c:strRef>
          </c:tx>
          <c:invertIfNegative val="0"/>
          <c:cat>
            <c:strRef>
              <c:f>Hoja1!$B$143:$D$143</c:f>
              <c:strCache>
                <c:ptCount val="3"/>
                <c:pt idx="0">
                  <c:v>secundaria </c:v>
                </c:pt>
                <c:pt idx="1">
                  <c:v>preparatoria</c:v>
                </c:pt>
                <c:pt idx="2">
                  <c:v>universidad</c:v>
                </c:pt>
              </c:strCache>
            </c:strRef>
          </c:cat>
          <c:val>
            <c:numRef>
              <c:f>Hoja1!$B$146:$D$146</c:f>
              <c:numCache>
                <c:formatCode>General</c:formatCode>
                <c:ptCount val="3"/>
                <c:pt idx="0">
                  <c:v>25.0</c:v>
                </c:pt>
                <c:pt idx="1">
                  <c:v>25.8</c:v>
                </c:pt>
                <c:pt idx="2">
                  <c:v>33.0</c:v>
                </c:pt>
              </c:numCache>
            </c:numRef>
          </c:val>
        </c:ser>
        <c:dLbls>
          <c:showLegendKey val="0"/>
          <c:showVal val="1"/>
          <c:showCatName val="0"/>
          <c:showSerName val="0"/>
          <c:showPercent val="0"/>
          <c:showBubbleSize val="0"/>
        </c:dLbls>
        <c:gapWidth val="150"/>
        <c:overlap val="-25"/>
        <c:axId val="2147437832"/>
        <c:axId val="2147440968"/>
      </c:barChart>
      <c:catAx>
        <c:axId val="2147437832"/>
        <c:scaling>
          <c:orientation val="minMax"/>
        </c:scaling>
        <c:delete val="0"/>
        <c:axPos val="b"/>
        <c:majorTickMark val="none"/>
        <c:minorTickMark val="none"/>
        <c:tickLblPos val="nextTo"/>
        <c:txPr>
          <a:bodyPr/>
          <a:lstStyle/>
          <a:p>
            <a:pPr>
              <a:defRPr>
                <a:latin typeface="Times New Roman"/>
                <a:cs typeface="Times New Roman"/>
              </a:defRPr>
            </a:pPr>
            <a:endParaRPr lang="es-ES"/>
          </a:p>
        </c:txPr>
        <c:crossAx val="2147440968"/>
        <c:crosses val="autoZero"/>
        <c:auto val="1"/>
        <c:lblAlgn val="ctr"/>
        <c:lblOffset val="100"/>
        <c:noMultiLvlLbl val="0"/>
      </c:catAx>
      <c:valAx>
        <c:axId val="2147440968"/>
        <c:scaling>
          <c:orientation val="minMax"/>
        </c:scaling>
        <c:delete val="1"/>
        <c:axPos val="l"/>
        <c:numFmt formatCode="General" sourceLinked="1"/>
        <c:majorTickMark val="out"/>
        <c:minorTickMark val="none"/>
        <c:tickLblPos val="nextTo"/>
        <c:crossAx val="2147437832"/>
        <c:crosses val="autoZero"/>
        <c:crossBetween val="between"/>
      </c:valAx>
    </c:plotArea>
    <c:legend>
      <c:legendPos val="t"/>
      <c:layout/>
      <c:overlay val="0"/>
      <c:txPr>
        <a:bodyPr/>
        <a:lstStyle/>
        <a:p>
          <a:pPr>
            <a:defRPr>
              <a:latin typeface="Times New Roman"/>
              <a:cs typeface="Times New Roman"/>
            </a:defRPr>
          </a:pPr>
          <a:endParaRPr lang="es-ES"/>
        </a:p>
      </c:txPr>
    </c:legend>
    <c:plotVisOnly val="1"/>
    <c:dispBlanksAs val="gap"/>
    <c:showDLblsOverMax val="0"/>
  </c:chart>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17"/>
    </mc:Choice>
    <mc:Fallback>
      <c:style val="17"/>
    </mc:Fallback>
  </mc:AlternateContent>
  <c:chart>
    <c:title>
      <c:tx>
        <c:rich>
          <a:bodyPr/>
          <a:lstStyle/>
          <a:p>
            <a:pPr>
              <a:defRPr sz="1200">
                <a:latin typeface="Times New Roman"/>
                <a:cs typeface="Times New Roman"/>
              </a:defRPr>
            </a:pPr>
            <a:r>
              <a:rPr lang="es-ES" sz="1200">
                <a:latin typeface="Times New Roman"/>
                <a:cs typeface="Times New Roman"/>
              </a:rPr>
              <a:t>Gráfica 7.</a:t>
            </a:r>
            <a:r>
              <a:rPr lang="es-ES" sz="1200" baseline="0">
                <a:latin typeface="Times New Roman"/>
                <a:cs typeface="Times New Roman"/>
              </a:rPr>
              <a:t> Experiencia de haber vivido o no en Estados Unidos </a:t>
            </a:r>
            <a:r>
              <a:rPr lang="es-ES" sz="1200">
                <a:latin typeface="Times New Roman"/>
                <a:cs typeface="Times New Roman"/>
              </a:rPr>
              <a:t>y porcentajes de quienes desean trabajar en aquel país,Tijuana, Nogales, Cd. Juáre</a:t>
            </a:r>
            <a:r>
              <a:rPr lang="es-ES" sz="1200" baseline="0">
                <a:latin typeface="Times New Roman"/>
                <a:cs typeface="Times New Roman"/>
              </a:rPr>
              <a:t> 2012</a:t>
            </a:r>
            <a:r>
              <a:rPr lang="es-ES" sz="1200">
                <a:latin typeface="Times New Roman"/>
                <a:cs typeface="Times New Roman"/>
              </a:rPr>
              <a:t>.</a:t>
            </a:r>
          </a:p>
        </c:rich>
      </c:tx>
      <c:layout/>
      <c:overlay val="0"/>
    </c:title>
    <c:autoTitleDeleted val="0"/>
    <c:plotArea>
      <c:layout/>
      <c:barChart>
        <c:barDir val="bar"/>
        <c:grouping val="clustered"/>
        <c:varyColors val="0"/>
        <c:ser>
          <c:idx val="0"/>
          <c:order val="0"/>
          <c:tx>
            <c:strRef>
              <c:f>Hoja1!$C$165</c:f>
              <c:strCache>
                <c:ptCount val="1"/>
                <c:pt idx="0">
                  <c:v>Deseo trabajar en EU (verdadero)</c:v>
                </c:pt>
              </c:strCache>
            </c:strRef>
          </c:tx>
          <c:invertIfNegative val="0"/>
          <c:cat>
            <c:strRef>
              <c:f>Hoja1!$B$166:$B$171</c:f>
              <c:strCache>
                <c:ptCount val="6"/>
                <c:pt idx="0">
                  <c:v>Secundaria (haber vivido en E.U.) </c:v>
                </c:pt>
                <c:pt idx="1">
                  <c:v>Secundaria  (no haber vivido en E.U.) </c:v>
                </c:pt>
                <c:pt idx="2">
                  <c:v>Preparatoria (haber vivido en E.U.)</c:v>
                </c:pt>
                <c:pt idx="3">
                  <c:v>Preparatoria (no haber vivido en E.U.)</c:v>
                </c:pt>
                <c:pt idx="4">
                  <c:v>Universidad (haber vivido en E.U.)</c:v>
                </c:pt>
                <c:pt idx="5">
                  <c:v>Universidad (no haber vivido en E.U.)</c:v>
                </c:pt>
              </c:strCache>
            </c:strRef>
          </c:cat>
          <c:val>
            <c:numRef>
              <c:f>Hoja1!$C$166:$C$171</c:f>
              <c:numCache>
                <c:formatCode>General</c:formatCode>
                <c:ptCount val="6"/>
                <c:pt idx="0">
                  <c:v>81.0</c:v>
                </c:pt>
                <c:pt idx="1">
                  <c:v>65.4</c:v>
                </c:pt>
                <c:pt idx="2">
                  <c:v>71.0</c:v>
                </c:pt>
                <c:pt idx="3">
                  <c:v>60.0</c:v>
                </c:pt>
                <c:pt idx="4">
                  <c:v>66.6</c:v>
                </c:pt>
                <c:pt idx="5">
                  <c:v>50.0</c:v>
                </c:pt>
              </c:numCache>
            </c:numRef>
          </c:val>
        </c:ser>
        <c:dLbls>
          <c:showLegendKey val="0"/>
          <c:showVal val="1"/>
          <c:showCatName val="0"/>
          <c:showSerName val="0"/>
          <c:showPercent val="0"/>
          <c:showBubbleSize val="0"/>
        </c:dLbls>
        <c:gapWidth val="150"/>
        <c:overlap val="-25"/>
        <c:axId val="2143178776"/>
        <c:axId val="2143216888"/>
      </c:barChart>
      <c:catAx>
        <c:axId val="2143178776"/>
        <c:scaling>
          <c:orientation val="minMax"/>
        </c:scaling>
        <c:delete val="0"/>
        <c:axPos val="l"/>
        <c:majorTickMark val="none"/>
        <c:minorTickMark val="none"/>
        <c:tickLblPos val="nextTo"/>
        <c:txPr>
          <a:bodyPr/>
          <a:lstStyle/>
          <a:p>
            <a:pPr>
              <a:defRPr>
                <a:latin typeface="Times New Roman"/>
                <a:cs typeface="Times New Roman"/>
              </a:defRPr>
            </a:pPr>
            <a:endParaRPr lang="es-ES"/>
          </a:p>
        </c:txPr>
        <c:crossAx val="2143216888"/>
        <c:crosses val="autoZero"/>
        <c:auto val="1"/>
        <c:lblAlgn val="ctr"/>
        <c:lblOffset val="100"/>
        <c:noMultiLvlLbl val="0"/>
      </c:catAx>
      <c:valAx>
        <c:axId val="2143216888"/>
        <c:scaling>
          <c:orientation val="minMax"/>
        </c:scaling>
        <c:delete val="1"/>
        <c:axPos val="b"/>
        <c:numFmt formatCode="General" sourceLinked="1"/>
        <c:majorTickMark val="out"/>
        <c:minorTickMark val="none"/>
        <c:tickLblPos val="nextTo"/>
        <c:crossAx val="2143178776"/>
        <c:crosses val="autoZero"/>
        <c:crossBetween val="between"/>
      </c:valAx>
    </c:plotArea>
    <c:legend>
      <c:legendPos val="t"/>
      <c:layout/>
      <c:overlay val="0"/>
      <c:txPr>
        <a:bodyPr/>
        <a:lstStyle/>
        <a:p>
          <a:pPr>
            <a:defRPr>
              <a:latin typeface="Times New Roman"/>
              <a:cs typeface="Times New Roman"/>
            </a:defRPr>
          </a:pPr>
          <a:endParaRPr lang="es-ES"/>
        </a:p>
      </c:txPr>
    </c:legend>
    <c:plotVisOnly val="1"/>
    <c:dispBlanksAs val="gap"/>
    <c:showDLblsOverMax val="0"/>
  </c:chart>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17"/>
    </mc:Choice>
    <mc:Fallback>
      <c:style val="17"/>
    </mc:Fallback>
  </mc:AlternateContent>
  <c:chart>
    <c:title>
      <c:tx>
        <c:rich>
          <a:bodyPr/>
          <a:lstStyle/>
          <a:p>
            <a:pPr>
              <a:defRPr sz="1200">
                <a:latin typeface="Times New Roman"/>
                <a:cs typeface="Times New Roman"/>
              </a:defRPr>
            </a:pPr>
            <a:r>
              <a:rPr lang="es-ES" sz="1200">
                <a:latin typeface="Times New Roman"/>
                <a:cs typeface="Times New Roman"/>
              </a:rPr>
              <a:t>Gráfica 8.  Porcentajes de quienes desean trabajar en Estados Unidos por grado escolar y ciudad 2012.</a:t>
            </a:r>
          </a:p>
        </c:rich>
      </c:tx>
      <c:layout/>
      <c:overlay val="0"/>
    </c:title>
    <c:autoTitleDeleted val="0"/>
    <c:plotArea>
      <c:layout/>
      <c:barChart>
        <c:barDir val="bar"/>
        <c:grouping val="clustered"/>
        <c:varyColors val="0"/>
        <c:ser>
          <c:idx val="0"/>
          <c:order val="0"/>
          <c:tx>
            <c:strRef>
              <c:f>Hoja1!$C$186</c:f>
              <c:strCache>
                <c:ptCount val="1"/>
                <c:pt idx="0">
                  <c:v>Deseo trabajar en E.U. (verdadero)</c:v>
                </c:pt>
              </c:strCache>
            </c:strRef>
          </c:tx>
          <c:invertIfNegative val="0"/>
          <c:cat>
            <c:strRef>
              <c:f>Hoja1!$B$187:$B$195</c:f>
              <c:strCache>
                <c:ptCount val="9"/>
                <c:pt idx="0">
                  <c:v>Tijuana secundaria</c:v>
                </c:pt>
                <c:pt idx="1">
                  <c:v>Tijuana preparatoria</c:v>
                </c:pt>
                <c:pt idx="2">
                  <c:v>Tijuana universidad</c:v>
                </c:pt>
                <c:pt idx="3">
                  <c:v>Nogales secundaria</c:v>
                </c:pt>
                <c:pt idx="4">
                  <c:v>Nogales preparatoria</c:v>
                </c:pt>
                <c:pt idx="5">
                  <c:v>Nogales universidad</c:v>
                </c:pt>
                <c:pt idx="6">
                  <c:v>C.d. Juárez secundaria</c:v>
                </c:pt>
                <c:pt idx="7">
                  <c:v>Cd. Juárez preparatoria</c:v>
                </c:pt>
                <c:pt idx="8">
                  <c:v>C.d. Juárez universidad </c:v>
                </c:pt>
              </c:strCache>
            </c:strRef>
          </c:cat>
          <c:val>
            <c:numRef>
              <c:f>Hoja1!$C$187:$C$195</c:f>
              <c:numCache>
                <c:formatCode>General</c:formatCode>
                <c:ptCount val="9"/>
              </c:numCache>
            </c:numRef>
          </c:val>
        </c:ser>
        <c:ser>
          <c:idx val="1"/>
          <c:order val="1"/>
          <c:tx>
            <c:strRef>
              <c:f>Hoja1!$D$186</c:f>
              <c:strCache>
                <c:ptCount val="1"/>
              </c:strCache>
            </c:strRef>
          </c:tx>
          <c:invertIfNegative val="0"/>
          <c:cat>
            <c:strRef>
              <c:f>Hoja1!$B$187:$B$195</c:f>
              <c:strCache>
                <c:ptCount val="9"/>
                <c:pt idx="0">
                  <c:v>Tijuana secundaria</c:v>
                </c:pt>
                <c:pt idx="1">
                  <c:v>Tijuana preparatoria</c:v>
                </c:pt>
                <c:pt idx="2">
                  <c:v>Tijuana universidad</c:v>
                </c:pt>
                <c:pt idx="3">
                  <c:v>Nogales secundaria</c:v>
                </c:pt>
                <c:pt idx="4">
                  <c:v>Nogales preparatoria</c:v>
                </c:pt>
                <c:pt idx="5">
                  <c:v>Nogales universidad</c:v>
                </c:pt>
                <c:pt idx="6">
                  <c:v>C.d. Juárez secundaria</c:v>
                </c:pt>
                <c:pt idx="7">
                  <c:v>Cd. Juárez preparatoria</c:v>
                </c:pt>
                <c:pt idx="8">
                  <c:v>C.d. Juárez universidad </c:v>
                </c:pt>
              </c:strCache>
            </c:strRef>
          </c:cat>
          <c:val>
            <c:numRef>
              <c:f>Hoja1!$D$187:$D$195</c:f>
              <c:numCache>
                <c:formatCode>General</c:formatCode>
                <c:ptCount val="9"/>
                <c:pt idx="0">
                  <c:v>59.0</c:v>
                </c:pt>
                <c:pt idx="1">
                  <c:v>65.0</c:v>
                </c:pt>
                <c:pt idx="2">
                  <c:v>29.0</c:v>
                </c:pt>
                <c:pt idx="3">
                  <c:v>96.0</c:v>
                </c:pt>
                <c:pt idx="4">
                  <c:v>51.0</c:v>
                </c:pt>
                <c:pt idx="5">
                  <c:v>80.0</c:v>
                </c:pt>
                <c:pt idx="6">
                  <c:v>70.0</c:v>
                </c:pt>
                <c:pt idx="7">
                  <c:v>85.0</c:v>
                </c:pt>
                <c:pt idx="8">
                  <c:v>50.0</c:v>
                </c:pt>
              </c:numCache>
            </c:numRef>
          </c:val>
        </c:ser>
        <c:ser>
          <c:idx val="2"/>
          <c:order val="2"/>
          <c:tx>
            <c:strRef>
              <c:f>Hoja1!$E$186</c:f>
              <c:strCache>
                <c:ptCount val="1"/>
              </c:strCache>
            </c:strRef>
          </c:tx>
          <c:invertIfNegative val="0"/>
          <c:cat>
            <c:strRef>
              <c:f>Hoja1!$B$187:$B$195</c:f>
              <c:strCache>
                <c:ptCount val="9"/>
                <c:pt idx="0">
                  <c:v>Tijuana secundaria</c:v>
                </c:pt>
                <c:pt idx="1">
                  <c:v>Tijuana preparatoria</c:v>
                </c:pt>
                <c:pt idx="2">
                  <c:v>Tijuana universidad</c:v>
                </c:pt>
                <c:pt idx="3">
                  <c:v>Nogales secundaria</c:v>
                </c:pt>
                <c:pt idx="4">
                  <c:v>Nogales preparatoria</c:v>
                </c:pt>
                <c:pt idx="5">
                  <c:v>Nogales universidad</c:v>
                </c:pt>
                <c:pt idx="6">
                  <c:v>C.d. Juárez secundaria</c:v>
                </c:pt>
                <c:pt idx="7">
                  <c:v>Cd. Juárez preparatoria</c:v>
                </c:pt>
                <c:pt idx="8">
                  <c:v>C.d. Juárez universidad </c:v>
                </c:pt>
              </c:strCache>
            </c:strRef>
          </c:cat>
          <c:val>
            <c:numRef>
              <c:f>Hoja1!$E$187:$E$195</c:f>
              <c:numCache>
                <c:formatCode>General</c:formatCode>
                <c:ptCount val="9"/>
              </c:numCache>
            </c:numRef>
          </c:val>
        </c:ser>
        <c:dLbls>
          <c:showLegendKey val="0"/>
          <c:showVal val="1"/>
          <c:showCatName val="0"/>
          <c:showSerName val="0"/>
          <c:showPercent val="0"/>
          <c:showBubbleSize val="0"/>
        </c:dLbls>
        <c:gapWidth val="150"/>
        <c:overlap val="-25"/>
        <c:axId val="2139362680"/>
        <c:axId val="2139352440"/>
      </c:barChart>
      <c:catAx>
        <c:axId val="2139362680"/>
        <c:scaling>
          <c:orientation val="minMax"/>
        </c:scaling>
        <c:delete val="0"/>
        <c:axPos val="l"/>
        <c:majorTickMark val="none"/>
        <c:minorTickMark val="none"/>
        <c:tickLblPos val="nextTo"/>
        <c:crossAx val="2139352440"/>
        <c:crosses val="autoZero"/>
        <c:auto val="1"/>
        <c:lblAlgn val="ctr"/>
        <c:lblOffset val="100"/>
        <c:noMultiLvlLbl val="0"/>
      </c:catAx>
      <c:valAx>
        <c:axId val="2139352440"/>
        <c:scaling>
          <c:orientation val="minMax"/>
        </c:scaling>
        <c:delete val="1"/>
        <c:axPos val="b"/>
        <c:numFmt formatCode="General" sourceLinked="1"/>
        <c:majorTickMark val="out"/>
        <c:minorTickMark val="none"/>
        <c:tickLblPos val="nextTo"/>
        <c:crossAx val="2139362680"/>
        <c:crosses val="autoZero"/>
        <c:crossBetween val="between"/>
      </c:valAx>
    </c:plotArea>
    <c:legend>
      <c:legendPos val="t"/>
      <c:layout/>
      <c:overlay val="0"/>
      <c:txPr>
        <a:bodyPr/>
        <a:lstStyle/>
        <a:p>
          <a:pPr>
            <a:defRPr>
              <a:latin typeface="Times New Roman"/>
              <a:cs typeface="Times New Roman"/>
            </a:defRPr>
          </a:pPr>
          <a:endParaRPr lang="es-ES"/>
        </a:p>
      </c:txPr>
    </c:legend>
    <c:plotVisOnly val="1"/>
    <c:dispBlanksAs val="gap"/>
    <c:showDLblsOverMax val="0"/>
  </c:chart>
  <c:externalData r:id="rId1">
    <c:autoUpdate val="0"/>
  </c:externalData>
</c:chartSpac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6</Pages>
  <Words>808</Words>
  <Characters>4444</Characters>
  <Application>Microsoft Macintosh Word</Application>
  <DocSecurity>0</DocSecurity>
  <Lines>37</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5242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David Rocha</cp:lastModifiedBy>
  <cp:revision>3</cp:revision>
  <dcterms:created xsi:type="dcterms:W3CDTF">2016-05-27T21:59:00Z</dcterms:created>
  <dcterms:modified xsi:type="dcterms:W3CDTF">2016-05-27T22:11:00Z</dcterms:modified>
</cp:coreProperties>
</file>