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53971" w14:textId="22807310" w:rsidR="00BB443E" w:rsidRPr="00BB443E" w:rsidRDefault="00BB443E" w:rsidP="007E3CC5">
      <w:pPr>
        <w:tabs>
          <w:tab w:val="left" w:pos="3400"/>
        </w:tabs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235ABD00" w14:textId="6A4C235A" w:rsidR="00665A7B" w:rsidRPr="00BB443E" w:rsidRDefault="007E3CC5" w:rsidP="00665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Cuadros y figuras</w:t>
      </w:r>
    </w:p>
    <w:p w14:paraId="6B1172E1" w14:textId="77777777" w:rsidR="00665A7B" w:rsidRPr="00BB443E" w:rsidRDefault="00665A7B" w:rsidP="00665A7B">
      <w:pPr>
        <w:jc w:val="center"/>
        <w:rPr>
          <w:rFonts w:ascii="Times New Roman" w:hAnsi="Times New Roman" w:cs="Times New Roman"/>
        </w:rPr>
      </w:pPr>
    </w:p>
    <w:p w14:paraId="1770FF54" w14:textId="77777777" w:rsidR="00665A7B" w:rsidRPr="00BB443E" w:rsidRDefault="00665A7B" w:rsidP="00665A7B">
      <w:pPr>
        <w:spacing w:line="276" w:lineRule="auto"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Figura 1. Localización del municipio de Calimaya</w:t>
      </w:r>
    </w:p>
    <w:p w14:paraId="64FFE80B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4875E67B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51839734" wp14:editId="404C9143">
            <wp:extent cx="4085802" cy="2682261"/>
            <wp:effectExtent l="25400" t="25400" r="29210" b="3556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074" cy="268309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E17D984" w14:textId="78182666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Fuente: Elaboración propia con bas</w:t>
      </w:r>
      <w:r w:rsidR="00BB443E">
        <w:rPr>
          <w:rFonts w:ascii="Times New Roman" w:hAnsi="Times New Roman" w:cs="Times New Roman"/>
        </w:rPr>
        <w:t xml:space="preserve">e a  INEGI 2014, Marco </w:t>
      </w:r>
      <w:proofErr w:type="spellStart"/>
      <w:r w:rsidR="00BB443E">
        <w:rPr>
          <w:rFonts w:ascii="Times New Roman" w:hAnsi="Times New Roman" w:cs="Times New Roman"/>
        </w:rPr>
        <w:t>Geoestadí</w:t>
      </w:r>
      <w:r w:rsidRPr="00BB443E">
        <w:rPr>
          <w:rFonts w:ascii="Times New Roman" w:hAnsi="Times New Roman" w:cs="Times New Roman"/>
        </w:rPr>
        <w:t>stico</w:t>
      </w:r>
      <w:proofErr w:type="spellEnd"/>
      <w:r w:rsidRPr="00BB443E">
        <w:rPr>
          <w:rFonts w:ascii="Times New Roman" w:hAnsi="Times New Roman" w:cs="Times New Roman"/>
        </w:rPr>
        <w:t>, Mapa Digital.</w:t>
      </w:r>
    </w:p>
    <w:p w14:paraId="24009F2E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46E775DC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38A16412" w14:textId="77777777" w:rsidR="00665A7B" w:rsidRPr="00BB443E" w:rsidRDefault="00665A7B" w:rsidP="00665A7B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Figura 2. Conjunto residencial Rancho el Mesón en la localidad de Calimaya de Díaz González, 1999.</w:t>
      </w:r>
    </w:p>
    <w:p w14:paraId="2288D6A4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769F0BB8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546D9C58" wp14:editId="0C13B01E">
            <wp:extent cx="4446666" cy="2148628"/>
            <wp:effectExtent l="25400" t="25400" r="24130" b="3619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LIMAYA1999a.tif"/>
                    <pic:cNvPicPr/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6984" cy="2148782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E91903F" w14:textId="69D7960C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 xml:space="preserve">Fuente: Elaboración propia con base a  INEGI 2014, Marco </w:t>
      </w:r>
      <w:proofErr w:type="spellStart"/>
      <w:r w:rsidRPr="00BB443E">
        <w:rPr>
          <w:rFonts w:ascii="Times New Roman" w:hAnsi="Times New Roman" w:cs="Times New Roman"/>
        </w:rPr>
        <w:t>Geoestad</w:t>
      </w:r>
      <w:r w:rsidR="00BB443E">
        <w:rPr>
          <w:rFonts w:ascii="Times New Roman" w:hAnsi="Times New Roman" w:cs="Times New Roman"/>
        </w:rPr>
        <w:t>í</w:t>
      </w:r>
      <w:r w:rsidRPr="00BB443E">
        <w:rPr>
          <w:rFonts w:ascii="Times New Roman" w:hAnsi="Times New Roman" w:cs="Times New Roman"/>
        </w:rPr>
        <w:t>stico</w:t>
      </w:r>
      <w:proofErr w:type="spellEnd"/>
      <w:r w:rsidRPr="00BB443E">
        <w:rPr>
          <w:rFonts w:ascii="Times New Roman" w:hAnsi="Times New Roman" w:cs="Times New Roman"/>
        </w:rPr>
        <w:t>, Mapa Digital.</w:t>
      </w:r>
    </w:p>
    <w:p w14:paraId="4157AB36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5600CC7A" w14:textId="77777777" w:rsidR="00665A7B" w:rsidRPr="00BB443E" w:rsidRDefault="00665A7B" w:rsidP="00665A7B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Times New Roman"/>
        </w:rPr>
      </w:pPr>
    </w:p>
    <w:p w14:paraId="77B14008" w14:textId="77777777" w:rsidR="00665A7B" w:rsidRPr="00BB443E" w:rsidRDefault="00665A7B" w:rsidP="00665A7B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Figura 3. Conjuntos urbanos Villas del Campo I y Residencial San Andrés, en las localidades de Calimaya de Díaz González y San Andrés Ocotlán, 2007.</w:t>
      </w:r>
    </w:p>
    <w:p w14:paraId="65F25955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1D59F769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noProof/>
          <w:lang w:val="es-ES"/>
        </w:rPr>
        <w:lastRenderedPageBreak/>
        <w:drawing>
          <wp:inline distT="0" distB="0" distL="0" distR="0" wp14:anchorId="6A5821B3" wp14:editId="5211AFB6">
            <wp:extent cx="5114142" cy="2262928"/>
            <wp:effectExtent l="25400" t="25400" r="17145" b="2349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LIMAYA 2007b.tif"/>
                    <pic:cNvPicPr/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02" cy="2263087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F752F58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 xml:space="preserve">Fuente: Elaboración propia con base a  INEGI 2014, Marco </w:t>
      </w:r>
      <w:proofErr w:type="spellStart"/>
      <w:r w:rsidRPr="00BB443E">
        <w:rPr>
          <w:rFonts w:ascii="Times New Roman" w:hAnsi="Times New Roman" w:cs="Times New Roman"/>
        </w:rPr>
        <w:t>Geoestadístico</w:t>
      </w:r>
      <w:proofErr w:type="spellEnd"/>
      <w:r w:rsidRPr="00BB443E">
        <w:rPr>
          <w:rFonts w:ascii="Times New Roman" w:hAnsi="Times New Roman" w:cs="Times New Roman"/>
        </w:rPr>
        <w:t>, Mapa Digital.</w:t>
      </w:r>
    </w:p>
    <w:p w14:paraId="6DA5FF49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143F75D4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6198057A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201713C1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305DA550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 xml:space="preserve">Figura  4. Conjuntos urbanos Villas del campo II, Ibérica y Valle del Nevado, en las localidades de Calimaya de Díaz González y La Concepción </w:t>
      </w:r>
      <w:proofErr w:type="spellStart"/>
      <w:r w:rsidRPr="00BB443E">
        <w:rPr>
          <w:rFonts w:ascii="Times New Roman" w:hAnsi="Times New Roman" w:cs="Times New Roman"/>
        </w:rPr>
        <w:t>Coatipac</w:t>
      </w:r>
      <w:proofErr w:type="spellEnd"/>
      <w:r w:rsidRPr="00BB443E">
        <w:rPr>
          <w:rFonts w:ascii="Times New Roman" w:hAnsi="Times New Roman" w:cs="Times New Roman"/>
        </w:rPr>
        <w:t>, 2009.</w:t>
      </w:r>
    </w:p>
    <w:p w14:paraId="139BAB82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0B8EB13D" wp14:editId="7C3215A6">
            <wp:extent cx="4771358" cy="2402628"/>
            <wp:effectExtent l="25400" t="25400" r="29845" b="3619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LIMAYA 2009b.tif"/>
                    <pic:cNvPicPr/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1602" cy="2402751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60F4B9A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 xml:space="preserve">Fuente: Elaboración propia con base a  INEGI 2014, Marco </w:t>
      </w:r>
      <w:proofErr w:type="spellStart"/>
      <w:r w:rsidRPr="00BB443E">
        <w:rPr>
          <w:rFonts w:ascii="Times New Roman" w:hAnsi="Times New Roman" w:cs="Times New Roman"/>
        </w:rPr>
        <w:t>Geoestadístico</w:t>
      </w:r>
      <w:proofErr w:type="spellEnd"/>
      <w:r w:rsidRPr="00BB443E">
        <w:rPr>
          <w:rFonts w:ascii="Times New Roman" w:hAnsi="Times New Roman" w:cs="Times New Roman"/>
        </w:rPr>
        <w:t>, Mapa Digital.</w:t>
      </w:r>
    </w:p>
    <w:p w14:paraId="23D447B0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21CEDE44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18319A71" w14:textId="77777777" w:rsidR="00665A7B" w:rsidRDefault="00665A7B" w:rsidP="00665A7B">
      <w:pPr>
        <w:rPr>
          <w:rFonts w:ascii="Times New Roman" w:hAnsi="Times New Roman" w:cs="Times New Roman"/>
        </w:rPr>
      </w:pPr>
    </w:p>
    <w:p w14:paraId="05F519D4" w14:textId="77777777" w:rsidR="007E3CC5" w:rsidRDefault="007E3CC5" w:rsidP="00665A7B">
      <w:pPr>
        <w:rPr>
          <w:rFonts w:ascii="Times New Roman" w:hAnsi="Times New Roman" w:cs="Times New Roman"/>
        </w:rPr>
      </w:pPr>
    </w:p>
    <w:p w14:paraId="26EC7D3C" w14:textId="77777777" w:rsidR="007E3CC5" w:rsidRPr="00BB443E" w:rsidRDefault="007E3CC5" w:rsidP="00665A7B">
      <w:pPr>
        <w:rPr>
          <w:rFonts w:ascii="Times New Roman" w:hAnsi="Times New Roman" w:cs="Times New Roman"/>
        </w:rPr>
      </w:pPr>
    </w:p>
    <w:p w14:paraId="41FE9C52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5FBFC343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5AB2DA7F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1A752F54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1CA5604A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1E24704E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lang w:val="es-ES"/>
        </w:rPr>
        <w:t xml:space="preserve">Figura 5. </w:t>
      </w:r>
      <w:r w:rsidRPr="00BB443E">
        <w:rPr>
          <w:rFonts w:ascii="Times New Roman" w:hAnsi="Times New Roman" w:cs="Times New Roman"/>
        </w:rPr>
        <w:t xml:space="preserve"> Conjuntos urbanos Bosque de las Fuentes, Valle de las Fuentes, Hacienda de las Fuentes y Lomas Urbi  en la localidad de San Andrés Ocotlán e Ibérica en Calimaya de Díaz González en el año 2010.</w:t>
      </w:r>
    </w:p>
    <w:p w14:paraId="76F51409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330E83D9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28756CC1" wp14:editId="3BD9EDDF">
            <wp:extent cx="4800875" cy="2353945"/>
            <wp:effectExtent l="0" t="0" r="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LIMAYA 2010.tif"/>
                    <pic:cNvPicPr/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1235" cy="235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4E8EF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 xml:space="preserve">Fuente: Elaboración propia con base a  INEGI 2014, Marco </w:t>
      </w:r>
      <w:proofErr w:type="spellStart"/>
      <w:r w:rsidRPr="00BB443E">
        <w:rPr>
          <w:rFonts w:ascii="Times New Roman" w:hAnsi="Times New Roman" w:cs="Times New Roman"/>
        </w:rPr>
        <w:t>Geoestadístico</w:t>
      </w:r>
      <w:proofErr w:type="spellEnd"/>
      <w:r w:rsidRPr="00BB443E">
        <w:rPr>
          <w:rFonts w:ascii="Times New Roman" w:hAnsi="Times New Roman" w:cs="Times New Roman"/>
        </w:rPr>
        <w:t>, Mapa Digital.</w:t>
      </w:r>
    </w:p>
    <w:p w14:paraId="3D8B1B82" w14:textId="77777777" w:rsidR="00665A7B" w:rsidRPr="00BB443E" w:rsidRDefault="00665A7B" w:rsidP="00665A7B">
      <w:pPr>
        <w:rPr>
          <w:rFonts w:ascii="Times New Roman" w:hAnsi="Times New Roman" w:cs="Times New Roman"/>
        </w:rPr>
      </w:pPr>
    </w:p>
    <w:p w14:paraId="1CAB257E" w14:textId="3DA710CF" w:rsidR="00665A7B" w:rsidRPr="00BB443E" w:rsidRDefault="00665A7B" w:rsidP="00665A7B">
      <w:pPr>
        <w:spacing w:line="276" w:lineRule="auto"/>
        <w:contextualSpacing/>
        <w:jc w:val="both"/>
        <w:rPr>
          <w:rFonts w:ascii="Times New Roman" w:hAnsi="Times New Roman" w:cs="Times New Roman"/>
          <w:lang w:val="es-ES"/>
        </w:rPr>
      </w:pPr>
      <w:r w:rsidRPr="00BB443E">
        <w:rPr>
          <w:rFonts w:ascii="Times New Roman" w:hAnsi="Times New Roman" w:cs="Times New Roman"/>
          <w:lang w:val="es-ES"/>
        </w:rPr>
        <w:t>Figura 6. Evolución de conjuntos urbanos según su ubicación y autoriz</w:t>
      </w:r>
      <w:r w:rsidR="003C083B">
        <w:rPr>
          <w:rFonts w:ascii="Times New Roman" w:hAnsi="Times New Roman" w:cs="Times New Roman"/>
          <w:lang w:val="es-ES"/>
        </w:rPr>
        <w:t>ación en Calimaya de 1999 a 2015</w:t>
      </w:r>
      <w:r w:rsidRPr="00BB443E">
        <w:rPr>
          <w:rFonts w:ascii="Times New Roman" w:hAnsi="Times New Roman" w:cs="Times New Roman"/>
          <w:lang w:val="es-ES"/>
        </w:rPr>
        <w:t>.</w:t>
      </w:r>
    </w:p>
    <w:p w14:paraId="6CCA0F63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328761F9" wp14:editId="38C84485">
            <wp:extent cx="4344035" cy="1579245"/>
            <wp:effectExtent l="0" t="0" r="24765" b="2095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EBD4725" w14:textId="77777777" w:rsidR="00665A7B" w:rsidRPr="00BB443E" w:rsidRDefault="00665A7B" w:rsidP="00665A7B">
      <w:pPr>
        <w:spacing w:line="276" w:lineRule="auto"/>
        <w:contextualSpacing/>
        <w:jc w:val="both"/>
        <w:rPr>
          <w:rFonts w:ascii="Times New Roman" w:hAnsi="Times New Roman" w:cs="Times New Roman"/>
          <w:lang w:val="es-ES"/>
        </w:rPr>
      </w:pPr>
      <w:r w:rsidRPr="00BB443E">
        <w:rPr>
          <w:rFonts w:ascii="Times New Roman" w:hAnsi="Times New Roman" w:cs="Times New Roman"/>
          <w:lang w:val="es-ES"/>
        </w:rPr>
        <w:t>Fuente: Elaboración propia con base en información de GACETAS del GEM, SDUEM.</w:t>
      </w:r>
    </w:p>
    <w:p w14:paraId="31FCD23F" w14:textId="77777777" w:rsidR="00854054" w:rsidRPr="00BB443E" w:rsidRDefault="00854054" w:rsidP="00665A7B">
      <w:pPr>
        <w:rPr>
          <w:rFonts w:ascii="Times New Roman" w:hAnsi="Times New Roman" w:cs="Times New Roman"/>
        </w:rPr>
      </w:pPr>
    </w:p>
    <w:p w14:paraId="041F9397" w14:textId="2D1C5868" w:rsidR="00665A7B" w:rsidRPr="00BB443E" w:rsidRDefault="00665A7B" w:rsidP="00665A7B">
      <w:pPr>
        <w:widowControl w:val="0"/>
        <w:autoSpaceDE w:val="0"/>
        <w:autoSpaceDN w:val="0"/>
        <w:adjustRightInd w:val="0"/>
        <w:spacing w:after="240" w:line="276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BB443E">
        <w:rPr>
          <w:rFonts w:ascii="Times New Roman" w:hAnsi="Times New Roman" w:cs="Times New Roman"/>
          <w:color w:val="000000"/>
        </w:rPr>
        <w:t>Figura 7. Autorizaciones según desarrolla</w:t>
      </w:r>
      <w:r w:rsidR="003C083B">
        <w:rPr>
          <w:rFonts w:ascii="Times New Roman" w:hAnsi="Times New Roman" w:cs="Times New Roman"/>
          <w:color w:val="000000"/>
        </w:rPr>
        <w:t>dora inmobiliaria de 1990 a 2015</w:t>
      </w:r>
      <w:r w:rsidRPr="00BB443E">
        <w:rPr>
          <w:rFonts w:ascii="Times New Roman" w:hAnsi="Times New Roman" w:cs="Times New Roman"/>
          <w:color w:val="000000"/>
        </w:rPr>
        <w:t>.</w:t>
      </w:r>
    </w:p>
    <w:p w14:paraId="4A6DCBF7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6B2DEF06" wp14:editId="13BBF66B">
            <wp:extent cx="4454102" cy="1716828"/>
            <wp:effectExtent l="0" t="0" r="16510" b="3619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136A0D6" w14:textId="77777777" w:rsidR="00665A7B" w:rsidRPr="00BB443E" w:rsidRDefault="00665A7B" w:rsidP="00854054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color w:val="000000"/>
        </w:rPr>
      </w:pPr>
      <w:r w:rsidRPr="00BB443E">
        <w:rPr>
          <w:rFonts w:ascii="Times New Roman" w:hAnsi="Times New Roman" w:cs="Times New Roman"/>
          <w:lang w:val="es-ES"/>
        </w:rPr>
        <w:t>Fuente: Elaboración propia con base en información de GACETAS del GEM, SDUEM, GEM y registro de campo.</w:t>
      </w:r>
    </w:p>
    <w:p w14:paraId="57C53757" w14:textId="77777777" w:rsidR="00665A7B" w:rsidRPr="00BB443E" w:rsidRDefault="00665A7B" w:rsidP="00665A7B">
      <w:pPr>
        <w:spacing w:line="276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BB443E">
        <w:rPr>
          <w:rFonts w:ascii="Times New Roman" w:hAnsi="Times New Roman" w:cs="Times New Roman"/>
          <w:color w:val="000000"/>
        </w:rPr>
        <w:t>Figura 8. Viviendas por desarrolladora inmobiliaria en Calimaya de 1990 a 2010.</w:t>
      </w:r>
    </w:p>
    <w:p w14:paraId="43E8D959" w14:textId="77777777" w:rsidR="00665A7B" w:rsidRPr="00BB443E" w:rsidRDefault="00665A7B" w:rsidP="00665A7B">
      <w:pPr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5C68E90B" wp14:editId="0CDC6937">
            <wp:extent cx="5601335" cy="1966595"/>
            <wp:effectExtent l="0" t="0" r="37465" b="1460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6E715E1" w14:textId="77777777" w:rsidR="00665A7B" w:rsidRPr="00BB443E" w:rsidRDefault="00665A7B" w:rsidP="00665A7B">
      <w:pPr>
        <w:spacing w:line="276" w:lineRule="auto"/>
        <w:contextualSpacing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Fuente:</w:t>
      </w:r>
      <w:r w:rsidRPr="00BB443E">
        <w:rPr>
          <w:rFonts w:ascii="Times New Roman" w:hAnsi="Times New Roman" w:cs="Times New Roman"/>
          <w:lang w:val="es-ES"/>
        </w:rPr>
        <w:t xml:space="preserve"> Elaboración propia con base en autorizaciones de construcción GACETAS, SDUEM, GEM.</w:t>
      </w:r>
    </w:p>
    <w:p w14:paraId="243F92C5" w14:textId="77777777" w:rsidR="00854054" w:rsidRDefault="00854054" w:rsidP="00665A7B">
      <w:pPr>
        <w:rPr>
          <w:rFonts w:ascii="Times New Roman" w:hAnsi="Times New Roman" w:cs="Times New Roman"/>
        </w:rPr>
      </w:pPr>
    </w:p>
    <w:p w14:paraId="39433DA7" w14:textId="77777777" w:rsidR="009E0290" w:rsidRPr="00BB443E" w:rsidRDefault="009E0290" w:rsidP="00665A7B">
      <w:pPr>
        <w:rPr>
          <w:rFonts w:ascii="Times New Roman" w:hAnsi="Times New Roman" w:cs="Times New Roman"/>
        </w:rPr>
      </w:pPr>
    </w:p>
    <w:p w14:paraId="377892AD" w14:textId="6ECDB4FC" w:rsidR="00665A7B" w:rsidRDefault="00665A7B" w:rsidP="00665A7B">
      <w:pPr>
        <w:spacing w:line="360" w:lineRule="auto"/>
        <w:jc w:val="both"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Cuadro 1. Población total de Calimaya, ZMT y Estado de México y tasa media</w:t>
      </w:r>
      <w:r w:rsidR="00980899">
        <w:rPr>
          <w:rFonts w:ascii="Times New Roman" w:hAnsi="Times New Roman" w:cs="Times New Roman"/>
        </w:rPr>
        <w:t xml:space="preserve"> anual de crecimiento (1990-2015</w:t>
      </w:r>
      <w:r w:rsidRPr="00BB443E">
        <w:rPr>
          <w:rFonts w:ascii="Times New Roman" w:hAnsi="Times New Roman" w:cs="Times New Roman"/>
        </w:rPr>
        <w:t>).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4"/>
        <w:gridCol w:w="261"/>
        <w:gridCol w:w="850"/>
        <w:gridCol w:w="1276"/>
        <w:gridCol w:w="1276"/>
        <w:gridCol w:w="1275"/>
        <w:gridCol w:w="993"/>
        <w:gridCol w:w="708"/>
        <w:gridCol w:w="851"/>
      </w:tblGrid>
      <w:tr w:rsidR="009E0290" w:rsidRPr="005A3AEE" w14:paraId="0D42A820" w14:textId="77777777" w:rsidTr="009E0290">
        <w:trPr>
          <w:trHeight w:val="300"/>
        </w:trPr>
        <w:tc>
          <w:tcPr>
            <w:tcW w:w="157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183D" w14:textId="77777777" w:rsidR="009E0290" w:rsidRPr="009E0290" w:rsidRDefault="009E0290" w:rsidP="003C083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Localización</w:t>
            </w:r>
          </w:p>
          <w:p w14:paraId="2C9FBD32" w14:textId="77777777" w:rsidR="009E0290" w:rsidRPr="009E0290" w:rsidRDefault="009E0290" w:rsidP="003C083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9E343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Población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02860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TCMA</w:t>
            </w:r>
          </w:p>
        </w:tc>
      </w:tr>
      <w:tr w:rsidR="009E0290" w:rsidRPr="005A3AEE" w14:paraId="1EFA2527" w14:textId="77777777" w:rsidTr="009E0290">
        <w:trPr>
          <w:trHeight w:val="300"/>
        </w:trPr>
        <w:tc>
          <w:tcPr>
            <w:tcW w:w="157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88A06" w14:textId="77777777" w:rsidR="009E0290" w:rsidRPr="009E0290" w:rsidRDefault="009E0290" w:rsidP="003C083B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3DD14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1990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4F405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26705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BDB4C" w14:textId="77777777" w:rsidR="00116CDB" w:rsidRDefault="00116CDB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096EBEF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5DD62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1990-2000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ABCDC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2000-2010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C2FF9" w14:textId="77777777" w:rsidR="009E0290" w:rsidRPr="009E0290" w:rsidRDefault="009E0290" w:rsidP="003C08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E0290">
              <w:rPr>
                <w:rFonts w:ascii="Times New Roman" w:eastAsia="Times New Roman" w:hAnsi="Times New Roman" w:cs="Times New Roman"/>
                <w:b/>
                <w:color w:val="000000"/>
              </w:rPr>
              <w:t>2010-2015</w:t>
            </w:r>
          </w:p>
        </w:tc>
      </w:tr>
      <w:tr w:rsidR="009E0290" w:rsidRPr="005A3AEE" w14:paraId="59B58179" w14:textId="77777777" w:rsidTr="009E0290">
        <w:trPr>
          <w:trHeight w:val="300"/>
        </w:trPr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1D75" w14:textId="77777777" w:rsidR="009E0290" w:rsidRPr="00BA2522" w:rsidRDefault="009E0290" w:rsidP="003C08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Calimaya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1EF8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 xml:space="preserve">    24 906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BE788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 xml:space="preserve">       35 196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E4BA2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 xml:space="preserve">     47 033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7006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 xml:space="preserve">       56 574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E7EC8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3.51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28803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2.94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8AE42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3.76</w:t>
            </w:r>
          </w:p>
        </w:tc>
      </w:tr>
      <w:tr w:rsidR="009E0290" w:rsidRPr="005A3AEE" w14:paraId="4BCDEDC3" w14:textId="77777777" w:rsidTr="009E0290">
        <w:trPr>
          <w:trHeight w:val="300"/>
        </w:trPr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D234" w14:textId="77777777" w:rsidR="009E0290" w:rsidRPr="00BA2522" w:rsidRDefault="009E0290" w:rsidP="003C08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ZMT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70E72A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1 061 065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60FAAB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1 471 146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7D45BD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1 846 116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9E958C5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1 914 892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FF7A2D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3.32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FEC685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F12C2AB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</w:tr>
      <w:tr w:rsidR="009E0290" w:rsidRPr="005A3AEE" w14:paraId="61F44C35" w14:textId="77777777" w:rsidTr="009E0290">
        <w:trPr>
          <w:trHeight w:val="320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73007" w14:textId="77777777" w:rsidR="009E0290" w:rsidRPr="00BA2522" w:rsidRDefault="009E0290" w:rsidP="003C08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Edo. México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A3C62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9 802 820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9B4C26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13 096 686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531C2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14 995  703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2C528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16 187 608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255AB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2.93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3D3533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1.36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EA239" w14:textId="77777777" w:rsidR="009E0290" w:rsidRPr="00BA2522" w:rsidRDefault="009E0290" w:rsidP="003C083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2522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</w:tr>
    </w:tbl>
    <w:p w14:paraId="4E894798" w14:textId="31DF2145" w:rsidR="00665A7B" w:rsidRPr="00BB443E" w:rsidRDefault="00665A7B" w:rsidP="00854054">
      <w:pPr>
        <w:rPr>
          <w:rFonts w:ascii="Times New Roman" w:eastAsia="ArialMT" w:hAnsi="Times New Roman" w:cs="Times New Roman"/>
        </w:rPr>
      </w:pPr>
      <w:r w:rsidRPr="00BB443E">
        <w:rPr>
          <w:rFonts w:ascii="Times New Roman" w:hAnsi="Times New Roman" w:cs="Times New Roman"/>
        </w:rPr>
        <w:t>Fuente: elaboración propia con base en los censos de po</w:t>
      </w:r>
      <w:r w:rsidR="009E0290">
        <w:rPr>
          <w:rFonts w:ascii="Times New Roman" w:hAnsi="Times New Roman" w:cs="Times New Roman"/>
        </w:rPr>
        <w:t xml:space="preserve">blación y vivienda 1990, 2000, </w:t>
      </w:r>
      <w:r w:rsidRPr="00BB443E">
        <w:rPr>
          <w:rFonts w:ascii="Times New Roman" w:hAnsi="Times New Roman" w:cs="Times New Roman"/>
        </w:rPr>
        <w:t>2010</w:t>
      </w:r>
      <w:r w:rsidR="009E0290">
        <w:rPr>
          <w:rFonts w:ascii="Times New Roman" w:hAnsi="Times New Roman" w:cs="Times New Roman"/>
        </w:rPr>
        <w:t xml:space="preserve"> y conteo 2015</w:t>
      </w:r>
      <w:r w:rsidRPr="00BB443E">
        <w:rPr>
          <w:rFonts w:ascii="Times New Roman" w:hAnsi="Times New Roman" w:cs="Times New Roman"/>
        </w:rPr>
        <w:t xml:space="preserve"> del INEGI</w:t>
      </w:r>
    </w:p>
    <w:p w14:paraId="3B00AED2" w14:textId="77777777" w:rsidR="00854054" w:rsidRDefault="00854054" w:rsidP="00665A7B">
      <w:pPr>
        <w:spacing w:line="360" w:lineRule="auto"/>
        <w:jc w:val="both"/>
        <w:rPr>
          <w:rFonts w:ascii="Times New Roman" w:hAnsi="Times New Roman" w:cs="Times New Roman"/>
        </w:rPr>
      </w:pPr>
    </w:p>
    <w:p w14:paraId="30F0820F" w14:textId="77777777" w:rsidR="009E0290" w:rsidRPr="00BB443E" w:rsidRDefault="009E0290" w:rsidP="00665A7B">
      <w:pPr>
        <w:spacing w:line="360" w:lineRule="auto"/>
        <w:jc w:val="both"/>
        <w:rPr>
          <w:rFonts w:ascii="Times New Roman" w:hAnsi="Times New Roman" w:cs="Times New Roman"/>
        </w:rPr>
      </w:pPr>
    </w:p>
    <w:p w14:paraId="3DF1EEE3" w14:textId="76A164A7" w:rsidR="00665A7B" w:rsidRPr="00BB443E" w:rsidRDefault="00665A7B" w:rsidP="00665A7B">
      <w:pPr>
        <w:spacing w:line="360" w:lineRule="auto"/>
        <w:jc w:val="both"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Cuadro 2.  Autorizaciones de conjuntos urbano</w:t>
      </w:r>
      <w:r w:rsidR="003C083B">
        <w:rPr>
          <w:rFonts w:ascii="Times New Roman" w:hAnsi="Times New Roman" w:cs="Times New Roman"/>
        </w:rPr>
        <w:t>s en Calimaya y ZMT de 1990-2015</w:t>
      </w:r>
      <w:r w:rsidRPr="00BB443E">
        <w:rPr>
          <w:rFonts w:ascii="Times New Roman" w:hAnsi="Times New Roman" w:cs="Times New Roman"/>
        </w:rPr>
        <w:t>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3"/>
        <w:gridCol w:w="2309"/>
        <w:gridCol w:w="2662"/>
      </w:tblGrid>
      <w:tr w:rsidR="00665A7B" w:rsidRPr="00BB443E" w14:paraId="32FF5455" w14:textId="77777777" w:rsidTr="00BB443E">
        <w:trPr>
          <w:trHeight w:val="87"/>
        </w:trPr>
        <w:tc>
          <w:tcPr>
            <w:tcW w:w="225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649AB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024D85F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Área</w:t>
            </w:r>
          </w:p>
        </w:tc>
        <w:tc>
          <w:tcPr>
            <w:tcW w:w="2745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8D97A4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Autorizaciones</w:t>
            </w:r>
          </w:p>
        </w:tc>
      </w:tr>
      <w:tr w:rsidR="00665A7B" w:rsidRPr="00BB443E" w14:paraId="61A73ECC" w14:textId="77777777" w:rsidTr="00BB443E">
        <w:trPr>
          <w:trHeight w:val="86"/>
        </w:trPr>
        <w:tc>
          <w:tcPr>
            <w:tcW w:w="225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8530DFC" w14:textId="77777777" w:rsidR="00665A7B" w:rsidRPr="00BB443E" w:rsidRDefault="00665A7B" w:rsidP="00BB443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pct"/>
            <w:tcBorders>
              <w:bottom w:val="single" w:sz="4" w:space="0" w:color="auto"/>
            </w:tcBorders>
            <w:shd w:val="clear" w:color="auto" w:fill="auto"/>
          </w:tcPr>
          <w:p w14:paraId="754C2C8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Número</w:t>
            </w:r>
          </w:p>
        </w:tc>
        <w:tc>
          <w:tcPr>
            <w:tcW w:w="1470" w:type="pct"/>
            <w:tcBorders>
              <w:bottom w:val="single" w:sz="4" w:space="0" w:color="auto"/>
            </w:tcBorders>
            <w:shd w:val="clear" w:color="auto" w:fill="auto"/>
          </w:tcPr>
          <w:p w14:paraId="06540DEF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% respecto al total</w:t>
            </w:r>
          </w:p>
        </w:tc>
      </w:tr>
      <w:tr w:rsidR="00665A7B" w:rsidRPr="00BB443E" w14:paraId="303828F1" w14:textId="77777777" w:rsidTr="00BB443E">
        <w:tc>
          <w:tcPr>
            <w:tcW w:w="2255" w:type="pct"/>
            <w:tcBorders>
              <w:top w:val="single" w:sz="4" w:space="0" w:color="auto"/>
            </w:tcBorders>
            <w:shd w:val="clear" w:color="auto" w:fill="auto"/>
          </w:tcPr>
          <w:p w14:paraId="6821020E" w14:textId="77777777" w:rsidR="00665A7B" w:rsidRPr="00BB443E" w:rsidRDefault="00665A7B" w:rsidP="00BB44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Municipio de Calimaya</w:t>
            </w:r>
          </w:p>
        </w:tc>
        <w:tc>
          <w:tcPr>
            <w:tcW w:w="1275" w:type="pct"/>
            <w:tcBorders>
              <w:top w:val="single" w:sz="4" w:space="0" w:color="auto"/>
            </w:tcBorders>
            <w:shd w:val="clear" w:color="auto" w:fill="auto"/>
          </w:tcPr>
          <w:p w14:paraId="5558CD25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0" w:type="pct"/>
            <w:tcBorders>
              <w:top w:val="single" w:sz="4" w:space="0" w:color="auto"/>
            </w:tcBorders>
            <w:shd w:val="clear" w:color="auto" w:fill="auto"/>
          </w:tcPr>
          <w:p w14:paraId="4AC2DA29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11.49</w:t>
            </w:r>
          </w:p>
        </w:tc>
      </w:tr>
      <w:tr w:rsidR="00665A7B" w:rsidRPr="00BB443E" w14:paraId="7DFB1DAD" w14:textId="77777777" w:rsidTr="00BB443E">
        <w:tc>
          <w:tcPr>
            <w:tcW w:w="2255" w:type="pct"/>
            <w:tcBorders>
              <w:bottom w:val="single" w:sz="4" w:space="0" w:color="auto"/>
            </w:tcBorders>
            <w:shd w:val="clear" w:color="auto" w:fill="auto"/>
          </w:tcPr>
          <w:p w14:paraId="75877B6A" w14:textId="77777777" w:rsidR="00665A7B" w:rsidRPr="00BB443E" w:rsidRDefault="00665A7B" w:rsidP="00BB44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Zona Metropolitana de Toluca</w:t>
            </w:r>
          </w:p>
        </w:tc>
        <w:tc>
          <w:tcPr>
            <w:tcW w:w="1275" w:type="pct"/>
            <w:tcBorders>
              <w:bottom w:val="single" w:sz="4" w:space="0" w:color="auto"/>
            </w:tcBorders>
            <w:shd w:val="clear" w:color="auto" w:fill="auto"/>
          </w:tcPr>
          <w:p w14:paraId="699697D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70" w:type="pct"/>
            <w:tcBorders>
              <w:bottom w:val="single" w:sz="4" w:space="0" w:color="auto"/>
            </w:tcBorders>
            <w:shd w:val="clear" w:color="auto" w:fill="auto"/>
          </w:tcPr>
          <w:p w14:paraId="514C7A42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5AE5EAD" w14:textId="77777777" w:rsidR="00665A7B" w:rsidRPr="00BB443E" w:rsidRDefault="00665A7B" w:rsidP="00854054">
      <w:pPr>
        <w:contextualSpacing/>
        <w:jc w:val="both"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Fuente: Elaboración propia con base en las estadísticas de conjuntos urbanos de la Secretaría de Desarrollo Urbano del Estado de México. &lt;http//www.edomex.gob.mx/sedur/stadisticas/conjuntos-urbanos&gt;.</w:t>
      </w:r>
    </w:p>
    <w:p w14:paraId="2D72CAD2" w14:textId="77777777" w:rsidR="00665A7B" w:rsidRDefault="00665A7B" w:rsidP="00665A7B">
      <w:pPr>
        <w:spacing w:line="360" w:lineRule="auto"/>
        <w:jc w:val="both"/>
        <w:rPr>
          <w:rFonts w:ascii="Times New Roman" w:hAnsi="Times New Roman" w:cs="Times New Roman"/>
        </w:rPr>
      </w:pPr>
    </w:p>
    <w:p w14:paraId="63A0FBDF" w14:textId="77777777" w:rsidR="009E0290" w:rsidRDefault="009E0290" w:rsidP="00665A7B">
      <w:pPr>
        <w:spacing w:line="360" w:lineRule="auto"/>
        <w:jc w:val="both"/>
        <w:rPr>
          <w:rFonts w:ascii="Times New Roman" w:hAnsi="Times New Roman" w:cs="Times New Roman"/>
        </w:rPr>
      </w:pPr>
    </w:p>
    <w:p w14:paraId="31EB74E7" w14:textId="77777777" w:rsidR="009E0290" w:rsidRPr="00BB443E" w:rsidRDefault="009E0290" w:rsidP="00665A7B">
      <w:pPr>
        <w:spacing w:line="360" w:lineRule="auto"/>
        <w:jc w:val="both"/>
        <w:rPr>
          <w:rFonts w:ascii="Times New Roman" w:hAnsi="Times New Roman" w:cs="Times New Roman"/>
        </w:rPr>
      </w:pPr>
    </w:p>
    <w:p w14:paraId="27DBA811" w14:textId="2DC74974" w:rsidR="00665A7B" w:rsidRPr="00BB443E" w:rsidRDefault="00665A7B" w:rsidP="00BA2522">
      <w:pPr>
        <w:jc w:val="both"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Cuadro 3. Superficie urbanizada y conjuntos urbanos autorizados en las loca</w:t>
      </w:r>
      <w:r w:rsidR="003C083B">
        <w:rPr>
          <w:rFonts w:ascii="Times New Roman" w:hAnsi="Times New Roman" w:cs="Times New Roman"/>
        </w:rPr>
        <w:t>lidades de Calimaya de 1990-2015</w:t>
      </w:r>
      <w:r w:rsidRPr="00BB443E">
        <w:rPr>
          <w:rFonts w:ascii="Times New Roman" w:hAnsi="Times New Roman" w:cs="Times New Roman"/>
        </w:rPr>
        <w:t xml:space="preserve">.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86"/>
        <w:gridCol w:w="1470"/>
        <w:gridCol w:w="1365"/>
        <w:gridCol w:w="1782"/>
        <w:gridCol w:w="1351"/>
      </w:tblGrid>
      <w:tr w:rsidR="00665A7B" w:rsidRPr="00BB443E" w14:paraId="0BBA969B" w14:textId="77777777" w:rsidTr="00BA2522">
        <w:trPr>
          <w:trHeight w:val="87"/>
        </w:trPr>
        <w:tc>
          <w:tcPr>
            <w:tcW w:w="170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CB5C7C" w14:textId="77777777" w:rsidR="00665A7B" w:rsidRPr="009E0290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4A7BF64" w14:textId="77777777" w:rsidR="00665A7B" w:rsidRPr="009E0290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266179A" w14:textId="77777777" w:rsidR="00665A7B" w:rsidRPr="009E0290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0290">
              <w:rPr>
                <w:rFonts w:ascii="Times New Roman" w:hAnsi="Times New Roman" w:cs="Times New Roman"/>
                <w:b/>
              </w:rPr>
              <w:t>Área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A4323C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Autorizaciones</w:t>
            </w:r>
          </w:p>
        </w:tc>
        <w:tc>
          <w:tcPr>
            <w:tcW w:w="17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27DF9E" w14:textId="00EF9ADD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Superficie urbanizada</w:t>
            </w:r>
          </w:p>
        </w:tc>
      </w:tr>
      <w:tr w:rsidR="00665A7B" w:rsidRPr="00BB443E" w14:paraId="2580CBB9" w14:textId="77777777" w:rsidTr="00BA2522">
        <w:trPr>
          <w:trHeight w:val="86"/>
        </w:trPr>
        <w:tc>
          <w:tcPr>
            <w:tcW w:w="170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30627F" w14:textId="77777777" w:rsidR="00665A7B" w:rsidRPr="00BB443E" w:rsidRDefault="00665A7B" w:rsidP="00BB44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3F5FBB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Número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48484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% respecto al total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088563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2F1DB0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Hectáreas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6CF1B1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% respecto al total</w:t>
            </w:r>
          </w:p>
        </w:tc>
      </w:tr>
      <w:tr w:rsidR="00665A7B" w:rsidRPr="00BB443E" w14:paraId="68317FA7" w14:textId="77777777" w:rsidTr="00BA2522">
        <w:tc>
          <w:tcPr>
            <w:tcW w:w="1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14496E" w14:textId="77777777" w:rsidR="00665A7B" w:rsidRPr="00BB443E" w:rsidRDefault="00665A7B" w:rsidP="00BB44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Calimaya de Díaz González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51D6E7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AE42DF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482EAB" w14:textId="77777777" w:rsidR="00665A7B" w:rsidRPr="00BB443E" w:rsidRDefault="00665A7B" w:rsidP="00BB44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 xml:space="preserve">      205.0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331ECC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53.45</w:t>
            </w:r>
          </w:p>
        </w:tc>
      </w:tr>
      <w:tr w:rsidR="00665A7B" w:rsidRPr="00BB443E" w14:paraId="32509A1A" w14:textId="77777777" w:rsidTr="00BA2522"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</w:tcPr>
          <w:p w14:paraId="4DFB1A23" w14:textId="77777777" w:rsidR="00665A7B" w:rsidRPr="00BB443E" w:rsidRDefault="00665A7B" w:rsidP="00BB44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San Andrés Ocotlán</w:t>
            </w:r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</w:tcPr>
          <w:p w14:paraId="35267CD8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209032ED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</w:tcPr>
          <w:p w14:paraId="56FE7A6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146.55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7BA98B44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38.10</w:t>
            </w:r>
          </w:p>
        </w:tc>
      </w:tr>
      <w:tr w:rsidR="00665A7B" w:rsidRPr="00BB443E" w14:paraId="7F9248F4" w14:textId="77777777" w:rsidTr="00BA2522"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</w:tcPr>
          <w:p w14:paraId="5934AE96" w14:textId="77777777" w:rsidR="00665A7B" w:rsidRPr="00BB443E" w:rsidRDefault="00665A7B" w:rsidP="00BB443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 xml:space="preserve">La Concepción </w:t>
            </w:r>
            <w:proofErr w:type="spellStart"/>
            <w:r w:rsidRPr="00BB443E">
              <w:rPr>
                <w:rFonts w:ascii="Times New Roman" w:hAnsi="Times New Roman" w:cs="Times New Roman"/>
              </w:rPr>
              <w:t>Coatipac</w:t>
            </w:r>
            <w:proofErr w:type="spellEnd"/>
          </w:p>
        </w:tc>
        <w:tc>
          <w:tcPr>
            <w:tcW w:w="812" w:type="pct"/>
            <w:tcBorders>
              <w:top w:val="nil"/>
              <w:left w:val="nil"/>
              <w:bottom w:val="nil"/>
              <w:right w:val="nil"/>
            </w:tcBorders>
          </w:tcPr>
          <w:p w14:paraId="551A93D9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</w:tcPr>
          <w:p w14:paraId="77A6C02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</w:tcPr>
          <w:p w14:paraId="532572BA" w14:textId="77777777" w:rsidR="00665A7B" w:rsidRPr="00BB443E" w:rsidRDefault="00665A7B" w:rsidP="00BB443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 xml:space="preserve">        32.0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EAF2103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B443E">
              <w:rPr>
                <w:rFonts w:ascii="Times New Roman" w:hAnsi="Times New Roman" w:cs="Times New Roman"/>
              </w:rPr>
              <w:t xml:space="preserve">  8.34</w:t>
            </w:r>
          </w:p>
        </w:tc>
      </w:tr>
      <w:tr w:rsidR="00665A7B" w:rsidRPr="00BB443E" w14:paraId="5466B5D9" w14:textId="77777777" w:rsidTr="00BA2522">
        <w:trPr>
          <w:trHeight w:val="63"/>
        </w:trPr>
        <w:tc>
          <w:tcPr>
            <w:tcW w:w="17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5A2D1" w14:textId="77777777" w:rsidR="00665A7B" w:rsidRPr="00BB443E" w:rsidRDefault="00665A7B" w:rsidP="00BB443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Total del municipio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3EE3D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76A7D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CE619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383.57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418C2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443E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14:paraId="035B2AD7" w14:textId="77777777" w:rsidR="00665A7B" w:rsidRPr="00BB443E" w:rsidRDefault="00665A7B" w:rsidP="009E0290">
      <w:pPr>
        <w:jc w:val="both"/>
        <w:rPr>
          <w:rFonts w:ascii="Times New Roman" w:hAnsi="Times New Roman" w:cs="Times New Roman"/>
        </w:rPr>
      </w:pPr>
      <w:r w:rsidRPr="00BB443E">
        <w:rPr>
          <w:rFonts w:ascii="Times New Roman" w:hAnsi="Times New Roman" w:cs="Times New Roman"/>
        </w:rPr>
        <w:t>Fuente: elaboración propia con base en las estadísticas de conjuntos urbanos de la Secretaría de Desarrollo Urbano del Estado de México. &lt;http//www.edomex.gob.mx/sedur/stadisticas/conjuntos-urbanos&gt;.</w:t>
      </w:r>
    </w:p>
    <w:p w14:paraId="5B8727E3" w14:textId="77777777" w:rsidR="00665A7B" w:rsidRPr="00BB443E" w:rsidRDefault="00665A7B" w:rsidP="00665A7B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hAnsi="Times New Roman" w:cs="Times New Roman"/>
          <w:lang w:val="es-ES"/>
        </w:rPr>
      </w:pPr>
    </w:p>
    <w:p w14:paraId="6B1208A1" w14:textId="65B475AD" w:rsidR="00665A7B" w:rsidRPr="00BB443E" w:rsidRDefault="00665A7B" w:rsidP="00BA2522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Times New Roman"/>
          <w:lang w:val="es-ES"/>
        </w:rPr>
      </w:pPr>
      <w:r w:rsidRPr="00BB443E">
        <w:rPr>
          <w:rFonts w:ascii="Times New Roman" w:hAnsi="Times New Roman" w:cs="Times New Roman"/>
          <w:lang w:val="es-ES"/>
        </w:rPr>
        <w:t>Cuadro 4. Evolución de la producción de vivienda residencial s</w:t>
      </w:r>
      <w:r w:rsidR="009E0290">
        <w:rPr>
          <w:rFonts w:ascii="Times New Roman" w:hAnsi="Times New Roman" w:cs="Times New Roman"/>
          <w:lang w:val="es-ES"/>
        </w:rPr>
        <w:t>egún localización de 1990 a 2015</w:t>
      </w:r>
      <w:r w:rsidRPr="00BB443E">
        <w:rPr>
          <w:rFonts w:ascii="Times New Roman" w:hAnsi="Times New Roman" w:cs="Times New Roman"/>
          <w:lang w:val="es-ES"/>
        </w:rPr>
        <w:t>.</w:t>
      </w:r>
    </w:p>
    <w:tbl>
      <w:tblPr>
        <w:tblW w:w="493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326"/>
        <w:gridCol w:w="920"/>
        <w:gridCol w:w="741"/>
        <w:gridCol w:w="741"/>
        <w:gridCol w:w="741"/>
        <w:gridCol w:w="1276"/>
      </w:tblGrid>
      <w:tr w:rsidR="00665A7B" w:rsidRPr="00BB443E" w14:paraId="1F2B20F3" w14:textId="77777777" w:rsidTr="00BB443E">
        <w:trPr>
          <w:trHeight w:val="300"/>
        </w:trPr>
        <w:tc>
          <w:tcPr>
            <w:tcW w:w="1758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E82C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Localidad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94B82D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Conjuntos urbanos</w:t>
            </w:r>
          </w:p>
        </w:tc>
        <w:tc>
          <w:tcPr>
            <w:tcW w:w="2493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682C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Viviendas</w:t>
            </w:r>
          </w:p>
        </w:tc>
      </w:tr>
      <w:tr w:rsidR="00665A7B" w:rsidRPr="00BB443E" w14:paraId="13373531" w14:textId="77777777" w:rsidTr="00BB443E">
        <w:trPr>
          <w:trHeight w:val="300"/>
        </w:trPr>
        <w:tc>
          <w:tcPr>
            <w:tcW w:w="175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D042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49" w:type="pct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9166D7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3166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1999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B1A74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2007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AC7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2009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CA71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2010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304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</w:tr>
      <w:tr w:rsidR="00665A7B" w:rsidRPr="00BB443E" w14:paraId="79F6283B" w14:textId="77777777" w:rsidTr="00BB443E">
        <w:trPr>
          <w:trHeight w:val="300"/>
        </w:trPr>
        <w:tc>
          <w:tcPr>
            <w:tcW w:w="175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5604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Calimaya de Díaz González</w:t>
            </w:r>
          </w:p>
        </w:tc>
        <w:tc>
          <w:tcPr>
            <w:tcW w:w="749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F0C0A7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A168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EB58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1313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083A2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1892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6B092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2060</w:t>
            </w:r>
          </w:p>
        </w:tc>
        <w:tc>
          <w:tcPr>
            <w:tcW w:w="72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BF43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5,265</w:t>
            </w:r>
          </w:p>
        </w:tc>
      </w:tr>
      <w:tr w:rsidR="00665A7B" w:rsidRPr="00BB443E" w14:paraId="3496A0EA" w14:textId="77777777" w:rsidTr="00BB443E">
        <w:trPr>
          <w:trHeight w:val="300"/>
        </w:trPr>
        <w:tc>
          <w:tcPr>
            <w:tcW w:w="1758" w:type="pct"/>
            <w:shd w:val="clear" w:color="auto" w:fill="auto"/>
            <w:noWrap/>
            <w:vAlign w:val="bottom"/>
            <w:hideMark/>
          </w:tcPr>
          <w:p w14:paraId="737256CB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San Andrés Ocotlán</w:t>
            </w:r>
          </w:p>
        </w:tc>
        <w:tc>
          <w:tcPr>
            <w:tcW w:w="749" w:type="pct"/>
            <w:shd w:val="clear" w:color="auto" w:fill="auto"/>
            <w:vAlign w:val="bottom"/>
          </w:tcPr>
          <w:p w14:paraId="0478913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20680BB4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295C39E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 xml:space="preserve">  121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567E6C53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4B0E8385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1776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06D85738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2,285</w:t>
            </w:r>
          </w:p>
        </w:tc>
      </w:tr>
      <w:tr w:rsidR="00665A7B" w:rsidRPr="00BB443E" w14:paraId="089D980F" w14:textId="77777777" w:rsidTr="00BB443E">
        <w:trPr>
          <w:trHeight w:val="300"/>
        </w:trPr>
        <w:tc>
          <w:tcPr>
            <w:tcW w:w="1758" w:type="pct"/>
            <w:shd w:val="clear" w:color="auto" w:fill="auto"/>
            <w:noWrap/>
            <w:vAlign w:val="bottom"/>
            <w:hideMark/>
          </w:tcPr>
          <w:p w14:paraId="11A7F2DF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 xml:space="preserve">La Concepción </w:t>
            </w:r>
            <w:proofErr w:type="spellStart"/>
            <w:r w:rsidRPr="00BB443E">
              <w:rPr>
                <w:rFonts w:ascii="Times New Roman" w:eastAsia="Times New Roman" w:hAnsi="Times New Roman" w:cs="Times New Roman"/>
                <w:color w:val="000000"/>
              </w:rPr>
              <w:t>Coatipac</w:t>
            </w:r>
            <w:proofErr w:type="spellEnd"/>
          </w:p>
        </w:tc>
        <w:tc>
          <w:tcPr>
            <w:tcW w:w="749" w:type="pct"/>
            <w:shd w:val="clear" w:color="auto" w:fill="auto"/>
            <w:vAlign w:val="bottom"/>
          </w:tcPr>
          <w:p w14:paraId="731D21E3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3FA9E93E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7465B906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 xml:space="preserve"> 0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7D7822A6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2,783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14:paraId="04D623BC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14:paraId="2625864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2,783</w:t>
            </w:r>
          </w:p>
        </w:tc>
      </w:tr>
      <w:tr w:rsidR="00665A7B" w:rsidRPr="00BB443E" w14:paraId="7AB56B2B" w14:textId="77777777" w:rsidTr="00BB443E">
        <w:trPr>
          <w:trHeight w:val="300"/>
        </w:trPr>
        <w:tc>
          <w:tcPr>
            <w:tcW w:w="17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1C64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74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50F0DC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FB2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388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72E4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1,434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7FC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4,675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CA4F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3,836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FF34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10,333</w:t>
            </w:r>
          </w:p>
        </w:tc>
      </w:tr>
    </w:tbl>
    <w:p w14:paraId="56E5CA08" w14:textId="011261EC" w:rsidR="00665A7B" w:rsidRPr="009E0290" w:rsidRDefault="00665A7B" w:rsidP="009E0290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s-ES"/>
        </w:rPr>
      </w:pPr>
      <w:r w:rsidRPr="00BB443E">
        <w:rPr>
          <w:rFonts w:ascii="Times New Roman" w:hAnsi="Times New Roman" w:cs="Times New Roman"/>
          <w:lang w:val="es-ES"/>
        </w:rPr>
        <w:t>Fuente: Elaboración propia con base en información de GACETAS del GEM, SDUEM.</w:t>
      </w:r>
    </w:p>
    <w:p w14:paraId="488472F1" w14:textId="1CFF1697" w:rsidR="00665A7B" w:rsidRPr="00BB443E" w:rsidRDefault="00665A7B" w:rsidP="00665A7B">
      <w:pPr>
        <w:widowControl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Times New Roman" w:hAnsi="Times New Roman" w:cs="Times New Roman"/>
          <w:lang w:val="es-ES"/>
        </w:rPr>
      </w:pPr>
      <w:r w:rsidRPr="00BB443E">
        <w:rPr>
          <w:rFonts w:ascii="Times New Roman" w:eastAsia="Times New Roman" w:hAnsi="Times New Roman" w:cs="Times New Roman"/>
          <w:color w:val="000000"/>
        </w:rPr>
        <w:t>Cuadro 5. Conjuntos urbanos según tipología y loc</w:t>
      </w:r>
      <w:r w:rsidR="009E0290">
        <w:rPr>
          <w:rFonts w:ascii="Times New Roman" w:eastAsia="Times New Roman" w:hAnsi="Times New Roman" w:cs="Times New Roman"/>
          <w:color w:val="000000"/>
        </w:rPr>
        <w:t>alización de 1990 a 2015</w:t>
      </w:r>
      <w:r w:rsidRPr="00BB443E">
        <w:rPr>
          <w:rFonts w:ascii="Times New Roman" w:eastAsia="Times New Roman" w:hAnsi="Times New Roman" w:cs="Times New Roman"/>
          <w:color w:val="00000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8"/>
        <w:gridCol w:w="1948"/>
        <w:gridCol w:w="1077"/>
        <w:gridCol w:w="1948"/>
        <w:gridCol w:w="1077"/>
      </w:tblGrid>
      <w:tr w:rsidR="00665A7B" w:rsidRPr="00BB443E" w14:paraId="3C7ED739" w14:textId="77777777" w:rsidTr="00BB443E">
        <w:trPr>
          <w:trHeight w:val="470"/>
        </w:trPr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5FD2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Localidad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ADB8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Conjunto urbano </w:t>
            </w:r>
          </w:p>
          <w:p w14:paraId="2B6728B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Cerrado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0AE4C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respecto al total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6297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Conjunto urbano</w:t>
            </w:r>
          </w:p>
          <w:p w14:paraId="0482118D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abierto</w:t>
            </w:r>
          </w:p>
        </w:tc>
        <w:tc>
          <w:tcPr>
            <w:tcW w:w="6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807C5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respecto al total</w:t>
            </w:r>
          </w:p>
        </w:tc>
      </w:tr>
      <w:tr w:rsidR="00665A7B" w:rsidRPr="00BB443E" w14:paraId="45F724BB" w14:textId="77777777" w:rsidTr="00BB443E">
        <w:trPr>
          <w:trHeight w:val="300"/>
        </w:trPr>
        <w:tc>
          <w:tcPr>
            <w:tcW w:w="16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8A8F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Calimaya de Díaz González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7C86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30DBB8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2724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6C6F4F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65A7B" w:rsidRPr="00BB443E" w14:paraId="7F6D0525" w14:textId="77777777" w:rsidTr="00BB443E">
        <w:trPr>
          <w:trHeight w:val="300"/>
        </w:trPr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3548FD84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San Andrés Ocotlán</w:t>
            </w:r>
          </w:p>
        </w:tc>
        <w:tc>
          <w:tcPr>
            <w:tcW w:w="1085" w:type="pct"/>
            <w:shd w:val="clear" w:color="auto" w:fill="auto"/>
            <w:noWrap/>
            <w:vAlign w:val="bottom"/>
            <w:hideMark/>
          </w:tcPr>
          <w:p w14:paraId="4C3273C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600" w:type="pct"/>
            <w:shd w:val="clear" w:color="auto" w:fill="auto"/>
            <w:vAlign w:val="bottom"/>
          </w:tcPr>
          <w:p w14:paraId="4690E71F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85" w:type="pct"/>
            <w:shd w:val="clear" w:color="auto" w:fill="auto"/>
            <w:noWrap/>
            <w:vAlign w:val="bottom"/>
            <w:hideMark/>
          </w:tcPr>
          <w:p w14:paraId="3FFF68D4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00" w:type="pct"/>
            <w:shd w:val="clear" w:color="auto" w:fill="auto"/>
            <w:vAlign w:val="bottom"/>
          </w:tcPr>
          <w:p w14:paraId="44655B51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65A7B" w:rsidRPr="00BB443E" w14:paraId="7D3ED75C" w14:textId="77777777" w:rsidTr="00BB443E">
        <w:trPr>
          <w:trHeight w:val="300"/>
        </w:trPr>
        <w:tc>
          <w:tcPr>
            <w:tcW w:w="1630" w:type="pct"/>
            <w:shd w:val="clear" w:color="auto" w:fill="auto"/>
            <w:noWrap/>
            <w:vAlign w:val="center"/>
            <w:hideMark/>
          </w:tcPr>
          <w:p w14:paraId="146B4AAA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 xml:space="preserve">La Concepción </w:t>
            </w:r>
            <w:proofErr w:type="spellStart"/>
            <w:r w:rsidRPr="00BB443E">
              <w:rPr>
                <w:rFonts w:ascii="Times New Roman" w:eastAsia="Times New Roman" w:hAnsi="Times New Roman" w:cs="Times New Roman"/>
                <w:color w:val="000000"/>
              </w:rPr>
              <w:t>Coatipac</w:t>
            </w:r>
            <w:proofErr w:type="spellEnd"/>
          </w:p>
        </w:tc>
        <w:tc>
          <w:tcPr>
            <w:tcW w:w="1085" w:type="pct"/>
            <w:shd w:val="clear" w:color="auto" w:fill="auto"/>
            <w:noWrap/>
            <w:vAlign w:val="bottom"/>
            <w:hideMark/>
          </w:tcPr>
          <w:p w14:paraId="731C16B9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00" w:type="pct"/>
            <w:shd w:val="clear" w:color="auto" w:fill="auto"/>
            <w:vAlign w:val="bottom"/>
          </w:tcPr>
          <w:p w14:paraId="17A0B58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85" w:type="pct"/>
            <w:shd w:val="clear" w:color="auto" w:fill="auto"/>
            <w:noWrap/>
            <w:vAlign w:val="bottom"/>
            <w:hideMark/>
          </w:tcPr>
          <w:p w14:paraId="0B612C34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pct"/>
            <w:shd w:val="clear" w:color="auto" w:fill="auto"/>
            <w:vAlign w:val="bottom"/>
          </w:tcPr>
          <w:p w14:paraId="29E97BCB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65A7B" w:rsidRPr="00BB443E" w14:paraId="29505EDC" w14:textId="77777777" w:rsidTr="00BB443E">
        <w:trPr>
          <w:trHeight w:val="300"/>
        </w:trPr>
        <w:tc>
          <w:tcPr>
            <w:tcW w:w="16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D8E299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7A034B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DD0387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color w:val="000000"/>
              </w:rPr>
              <w:t>90</w:t>
            </w:r>
          </w:p>
        </w:tc>
        <w:tc>
          <w:tcPr>
            <w:tcW w:w="108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DD1D2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B30841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</w:tr>
    </w:tbl>
    <w:p w14:paraId="0B53EF13" w14:textId="77777777" w:rsidR="00665A7B" w:rsidRPr="00BB443E" w:rsidRDefault="00665A7B" w:rsidP="009E0290">
      <w:pPr>
        <w:widowControl w:val="0"/>
        <w:autoSpaceDE w:val="0"/>
        <w:autoSpaceDN w:val="0"/>
        <w:adjustRightInd w:val="0"/>
        <w:spacing w:after="120"/>
        <w:contextualSpacing/>
        <w:jc w:val="both"/>
        <w:rPr>
          <w:rFonts w:ascii="Times New Roman" w:hAnsi="Times New Roman" w:cs="Times New Roman"/>
          <w:lang w:val="es-ES"/>
        </w:rPr>
      </w:pPr>
      <w:r w:rsidRPr="00BB443E">
        <w:rPr>
          <w:rFonts w:ascii="Times New Roman" w:hAnsi="Times New Roman" w:cs="Times New Roman"/>
          <w:lang w:val="es-ES"/>
        </w:rPr>
        <w:t>Fuente: Elaboración propia con base en información de GACETAS del GEM, SDUEM, GEM y registro de campo.</w:t>
      </w:r>
    </w:p>
    <w:p w14:paraId="6DB488F5" w14:textId="77777777" w:rsidR="00665A7B" w:rsidRPr="00BB443E" w:rsidRDefault="00665A7B" w:rsidP="00665A7B">
      <w:pPr>
        <w:spacing w:line="360" w:lineRule="auto"/>
        <w:rPr>
          <w:rFonts w:ascii="Times New Roman" w:eastAsia="Times New Roman" w:hAnsi="Times New Roman" w:cs="Times New Roman"/>
          <w:color w:val="000000"/>
        </w:rPr>
      </w:pPr>
      <w:r w:rsidRPr="00BB443E">
        <w:rPr>
          <w:rFonts w:ascii="Times New Roman" w:eastAsia="Times New Roman" w:hAnsi="Times New Roman" w:cs="Times New Roman"/>
          <w:color w:val="000000"/>
        </w:rPr>
        <w:t>Cuadro 6. Vivienda según tipología y localización de 1990 a 2010.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6"/>
        <w:gridCol w:w="1271"/>
        <w:gridCol w:w="158"/>
        <w:gridCol w:w="1348"/>
        <w:gridCol w:w="1489"/>
        <w:gridCol w:w="808"/>
        <w:gridCol w:w="898"/>
      </w:tblGrid>
      <w:tr w:rsidR="00665A7B" w:rsidRPr="00BB443E" w14:paraId="18253E8B" w14:textId="77777777" w:rsidTr="00BB443E">
        <w:trPr>
          <w:trHeight w:val="300"/>
        </w:trPr>
        <w:tc>
          <w:tcPr>
            <w:tcW w:w="1674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0F52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Localidad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3E13A16B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618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5D8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Vivienda según tipología</w:t>
            </w:r>
          </w:p>
        </w:tc>
      </w:tr>
      <w:tr w:rsidR="00665A7B" w:rsidRPr="00BB443E" w14:paraId="51A7394E" w14:textId="77777777" w:rsidTr="00BB443E">
        <w:trPr>
          <w:trHeight w:val="395"/>
        </w:trPr>
        <w:tc>
          <w:tcPr>
            <w:tcW w:w="167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11F1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9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3447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Residencial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4695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Mixto</w:t>
            </w:r>
          </w:p>
          <w:p w14:paraId="6F70A435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residencial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7C8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Mixto medio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10AE9A92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Medio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7DC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Interés</w:t>
            </w:r>
          </w:p>
          <w:p w14:paraId="7E20F6C1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social</w:t>
            </w:r>
          </w:p>
        </w:tc>
      </w:tr>
      <w:tr w:rsidR="00665A7B" w:rsidRPr="00BB443E" w14:paraId="3F31EF82" w14:textId="77777777" w:rsidTr="00BB443E">
        <w:trPr>
          <w:trHeight w:val="300"/>
        </w:trPr>
        <w:tc>
          <w:tcPr>
            <w:tcW w:w="167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475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Calimaya de Díaz González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CE4B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D928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82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9911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1,220</w:t>
            </w:r>
          </w:p>
        </w:tc>
        <w:tc>
          <w:tcPr>
            <w:tcW w:w="450" w:type="pct"/>
            <w:tcBorders>
              <w:top w:val="single" w:sz="4" w:space="0" w:color="auto"/>
            </w:tcBorders>
            <w:vAlign w:val="bottom"/>
          </w:tcPr>
          <w:p w14:paraId="312FEA3B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3,952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B719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65A7B" w:rsidRPr="00BB443E" w14:paraId="46103282" w14:textId="77777777" w:rsidTr="00BB443E">
        <w:trPr>
          <w:trHeight w:val="300"/>
        </w:trPr>
        <w:tc>
          <w:tcPr>
            <w:tcW w:w="1674" w:type="pct"/>
            <w:shd w:val="clear" w:color="auto" w:fill="auto"/>
            <w:noWrap/>
            <w:vAlign w:val="center"/>
            <w:hideMark/>
          </w:tcPr>
          <w:p w14:paraId="79BE1541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San Andrés Ocotlán</w:t>
            </w:r>
          </w:p>
        </w:tc>
        <w:tc>
          <w:tcPr>
            <w:tcW w:w="796" w:type="pct"/>
            <w:gridSpan w:val="2"/>
            <w:shd w:val="clear" w:color="auto" w:fill="auto"/>
            <w:noWrap/>
            <w:vAlign w:val="bottom"/>
            <w:hideMark/>
          </w:tcPr>
          <w:p w14:paraId="0C426650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388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6A5BBCBD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1,451</w:t>
            </w:r>
          </w:p>
        </w:tc>
        <w:tc>
          <w:tcPr>
            <w:tcW w:w="829" w:type="pct"/>
            <w:shd w:val="clear" w:color="auto" w:fill="auto"/>
            <w:noWrap/>
            <w:vAlign w:val="bottom"/>
            <w:hideMark/>
          </w:tcPr>
          <w:p w14:paraId="5C6488E8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pct"/>
            <w:vAlign w:val="bottom"/>
          </w:tcPr>
          <w:p w14:paraId="17E51BDA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446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B6A3F6E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665A7B" w:rsidRPr="00BB443E" w14:paraId="3BC83333" w14:textId="77777777" w:rsidTr="00BB443E">
        <w:trPr>
          <w:trHeight w:val="300"/>
        </w:trPr>
        <w:tc>
          <w:tcPr>
            <w:tcW w:w="1674" w:type="pct"/>
            <w:shd w:val="clear" w:color="auto" w:fill="auto"/>
            <w:noWrap/>
            <w:vAlign w:val="center"/>
            <w:hideMark/>
          </w:tcPr>
          <w:p w14:paraId="766E6D01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 xml:space="preserve">La Concepción </w:t>
            </w:r>
            <w:proofErr w:type="spellStart"/>
            <w:r w:rsidRPr="00BB443E">
              <w:rPr>
                <w:rFonts w:ascii="Times New Roman" w:eastAsia="Times New Roman" w:hAnsi="Times New Roman" w:cs="Times New Roman"/>
                <w:color w:val="000000"/>
              </w:rPr>
              <w:t>Coatipac</w:t>
            </w:r>
            <w:proofErr w:type="spellEnd"/>
          </w:p>
        </w:tc>
        <w:tc>
          <w:tcPr>
            <w:tcW w:w="796" w:type="pct"/>
            <w:gridSpan w:val="2"/>
            <w:shd w:val="clear" w:color="auto" w:fill="auto"/>
            <w:noWrap/>
            <w:vAlign w:val="bottom"/>
            <w:hideMark/>
          </w:tcPr>
          <w:p w14:paraId="0558C005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51" w:type="pct"/>
            <w:shd w:val="clear" w:color="auto" w:fill="auto"/>
            <w:noWrap/>
            <w:vAlign w:val="bottom"/>
            <w:hideMark/>
          </w:tcPr>
          <w:p w14:paraId="38CB2EA6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29" w:type="pct"/>
            <w:shd w:val="clear" w:color="auto" w:fill="auto"/>
            <w:noWrap/>
            <w:vAlign w:val="bottom"/>
            <w:hideMark/>
          </w:tcPr>
          <w:p w14:paraId="65C95DEF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50" w:type="pct"/>
            <w:vAlign w:val="bottom"/>
          </w:tcPr>
          <w:p w14:paraId="79258C89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08D677F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color w:val="000000"/>
              </w:rPr>
              <w:t>2,783</w:t>
            </w:r>
          </w:p>
        </w:tc>
      </w:tr>
      <w:tr w:rsidR="00665A7B" w:rsidRPr="00BB443E" w14:paraId="3B0F465E" w14:textId="77777777" w:rsidTr="00BB443E">
        <w:trPr>
          <w:trHeight w:val="300"/>
        </w:trPr>
        <w:tc>
          <w:tcPr>
            <w:tcW w:w="167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10FC" w14:textId="77777777" w:rsidR="00665A7B" w:rsidRPr="00BB443E" w:rsidRDefault="00665A7B" w:rsidP="00BB443E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79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44C6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388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46BB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1,544</w:t>
            </w:r>
          </w:p>
        </w:tc>
        <w:tc>
          <w:tcPr>
            <w:tcW w:w="82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55DE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1,220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bottom"/>
          </w:tcPr>
          <w:p w14:paraId="50D4E8A2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4,398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7788" w14:textId="77777777" w:rsidR="00665A7B" w:rsidRPr="00BB443E" w:rsidRDefault="00665A7B" w:rsidP="00BB44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B443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2,783</w:t>
            </w:r>
          </w:p>
        </w:tc>
      </w:tr>
    </w:tbl>
    <w:p w14:paraId="540B5332" w14:textId="77777777" w:rsidR="003B7EAA" w:rsidRPr="00BB443E" w:rsidRDefault="00665A7B" w:rsidP="00665A7B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hAnsi="Times New Roman" w:cs="Times New Roman"/>
          <w:lang w:val="es-ES"/>
        </w:rPr>
      </w:pPr>
      <w:r w:rsidRPr="00BB443E">
        <w:rPr>
          <w:rFonts w:ascii="Times New Roman" w:hAnsi="Times New Roman" w:cs="Times New Roman"/>
          <w:lang w:val="es-ES"/>
        </w:rPr>
        <w:t>Fuente: Elaboración propia con base en GACETAS del GEM, SDUEM, GEM y registro de campo.</w:t>
      </w:r>
    </w:p>
    <w:sectPr w:rsidR="003B7EAA" w:rsidRPr="00BB443E" w:rsidSect="00C935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7B"/>
    <w:rsid w:val="00116CDB"/>
    <w:rsid w:val="003B7EAA"/>
    <w:rsid w:val="003C083B"/>
    <w:rsid w:val="00665A7B"/>
    <w:rsid w:val="007E3CC5"/>
    <w:rsid w:val="00854054"/>
    <w:rsid w:val="00980899"/>
    <w:rsid w:val="009E0290"/>
    <w:rsid w:val="00BA2522"/>
    <w:rsid w:val="00BB443E"/>
    <w:rsid w:val="00C83912"/>
    <w:rsid w:val="00C9354E"/>
    <w:rsid w:val="00E20F8B"/>
    <w:rsid w:val="00E4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217E4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A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5A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5A7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A7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A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65A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5A7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5A7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chart" Target="charts/chart2.xml"/><Relationship Id="rId12" Type="http://schemas.openxmlformats.org/officeDocument/2006/relationships/chart" Target="charts/chart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image" Target="media/image4.tiff"/><Relationship Id="rId9" Type="http://schemas.openxmlformats.org/officeDocument/2006/relationships/image" Target="media/image5.tiff"/><Relationship Id="rId10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lu1:Documents:CALIMAYA:conj.%20urbanos%20zona%20de%20estudio%20201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lu1:Documents:CALIMAYA:conj.%20urbanos%20zona%20de%20estudio%202015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lu1:Documents:CALIMAYA:conj.%20urbanos%20zona%20de%20estudio%20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Hoja1!$Z$4</c:f>
              <c:strCache>
                <c:ptCount val="1"/>
                <c:pt idx="0">
                  <c:v>Calimaya de Díaz González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cat>
            <c:numRef>
              <c:f>Hoja1!$AA$3:$AD$3</c:f>
              <c:numCache>
                <c:formatCode>General</c:formatCode>
                <c:ptCount val="4"/>
                <c:pt idx="0">
                  <c:v>1999.0</c:v>
                </c:pt>
                <c:pt idx="1">
                  <c:v>2007.0</c:v>
                </c:pt>
                <c:pt idx="2">
                  <c:v>2009.0</c:v>
                </c:pt>
                <c:pt idx="3">
                  <c:v>2010.0</c:v>
                </c:pt>
              </c:numCache>
            </c:numRef>
          </c:cat>
          <c:val>
            <c:numRef>
              <c:f>Hoja1!$AA$4:$AD$4</c:f>
              <c:numCache>
                <c:formatCode>General</c:formatCode>
                <c:ptCount val="4"/>
                <c:pt idx="0">
                  <c:v>0.0</c:v>
                </c:pt>
                <c:pt idx="1">
                  <c:v>1.0</c:v>
                </c:pt>
                <c:pt idx="2">
                  <c:v>1.0</c:v>
                </c:pt>
                <c:pt idx="3">
                  <c:v>1.0</c:v>
                </c:pt>
              </c:numCache>
            </c:numRef>
          </c:val>
        </c:ser>
        <c:ser>
          <c:idx val="1"/>
          <c:order val="1"/>
          <c:tx>
            <c:strRef>
              <c:f>Hoja1!$Z$5</c:f>
              <c:strCache>
                <c:ptCount val="1"/>
                <c:pt idx="0">
                  <c:v>San Andrés Ocotlán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invertIfNegative val="0"/>
          <c:cat>
            <c:numRef>
              <c:f>Hoja1!$AA$3:$AD$3</c:f>
              <c:numCache>
                <c:formatCode>General</c:formatCode>
                <c:ptCount val="4"/>
                <c:pt idx="0">
                  <c:v>1999.0</c:v>
                </c:pt>
                <c:pt idx="1">
                  <c:v>2007.0</c:v>
                </c:pt>
                <c:pt idx="2">
                  <c:v>2009.0</c:v>
                </c:pt>
                <c:pt idx="3">
                  <c:v>2010.0</c:v>
                </c:pt>
              </c:numCache>
            </c:numRef>
          </c:cat>
          <c:val>
            <c:numRef>
              <c:f>Hoja1!$AA$5:$AD$5</c:f>
              <c:numCache>
                <c:formatCode>General</c:formatCode>
                <c:ptCount val="4"/>
                <c:pt idx="0">
                  <c:v>1.0</c:v>
                </c:pt>
                <c:pt idx="1">
                  <c:v>1.0</c:v>
                </c:pt>
                <c:pt idx="2">
                  <c:v>0.0</c:v>
                </c:pt>
                <c:pt idx="3">
                  <c:v>4.0</c:v>
                </c:pt>
              </c:numCache>
            </c:numRef>
          </c:val>
        </c:ser>
        <c:ser>
          <c:idx val="2"/>
          <c:order val="2"/>
          <c:tx>
            <c:strRef>
              <c:f>Hoja1!$Z$6</c:f>
              <c:strCache>
                <c:ptCount val="1"/>
                <c:pt idx="0">
                  <c:v>La Concepción Coatipac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</c:spPr>
          <c:invertIfNegative val="0"/>
          <c:cat>
            <c:numRef>
              <c:f>Hoja1!$AA$3:$AD$3</c:f>
              <c:numCache>
                <c:formatCode>General</c:formatCode>
                <c:ptCount val="4"/>
                <c:pt idx="0">
                  <c:v>1999.0</c:v>
                </c:pt>
                <c:pt idx="1">
                  <c:v>2007.0</c:v>
                </c:pt>
                <c:pt idx="2">
                  <c:v>2009.0</c:v>
                </c:pt>
                <c:pt idx="3">
                  <c:v>2010.0</c:v>
                </c:pt>
              </c:numCache>
            </c:numRef>
          </c:cat>
          <c:val>
            <c:numRef>
              <c:f>Hoja1!$AA$6:$AD$6</c:f>
              <c:numCache>
                <c:formatCode>General</c:formatCode>
                <c:ptCount val="4"/>
                <c:pt idx="0">
                  <c:v>0.0</c:v>
                </c:pt>
                <c:pt idx="1">
                  <c:v>0.0</c:v>
                </c:pt>
                <c:pt idx="2">
                  <c:v>1.0</c:v>
                </c:pt>
                <c:pt idx="3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27032056"/>
        <c:axId val="-2110274232"/>
        <c:axId val="0"/>
      </c:bar3DChart>
      <c:catAx>
        <c:axId val="-21270320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 b="1">
                    <a:latin typeface="Times New Roman"/>
                    <a:cs typeface="Times New Roman"/>
                  </a:defRPr>
                </a:pPr>
                <a:r>
                  <a:rPr lang="es-ES" sz="1200" b="1">
                    <a:latin typeface="Times New Roman"/>
                    <a:cs typeface="Times New Roman"/>
                  </a:rPr>
                  <a:t>Año de autorización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10274232"/>
        <c:crosses val="autoZero"/>
        <c:auto val="1"/>
        <c:lblAlgn val="ctr"/>
        <c:lblOffset val="100"/>
        <c:noMultiLvlLbl val="0"/>
      </c:catAx>
      <c:valAx>
        <c:axId val="-21102742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 b="0">
                    <a:latin typeface="Times New Roman"/>
                    <a:cs typeface="Times New Roman"/>
                  </a:defRPr>
                </a:pPr>
                <a:r>
                  <a:rPr lang="es-ES" sz="1200" b="0">
                    <a:latin typeface="Times New Roman"/>
                    <a:cs typeface="Times New Roman"/>
                  </a:rPr>
                  <a:t>Número de conjuntos urbanos</a:t>
                </a:r>
              </a:p>
            </c:rich>
          </c:tx>
          <c:layout>
            <c:manualLayout>
              <c:xMode val="edge"/>
              <c:yMode val="edge"/>
              <c:x val="0.233810961467852"/>
              <c:y val="0.79746207839822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2703205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 b="1">
              <a:latin typeface="Times New Roman"/>
              <a:cs typeface="Times New Roman"/>
            </a:defRPr>
          </a:pPr>
          <a:endParaRPr lang="es-E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0942385843295326"/>
          <c:y val="0.0848176420695504"/>
          <c:w val="0.839151771872239"/>
          <c:h val="0.3278466781983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Hoja4!$N$4</c:f>
              <c:strCache>
                <c:ptCount val="1"/>
                <c:pt idx="0">
                  <c:v>conjuntos urbanos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</c:spPr>
          <c:invertIfNegative val="0"/>
          <c:dLbls>
            <c:txPr>
              <a:bodyPr/>
              <a:lstStyle/>
              <a:p>
                <a:pPr>
                  <a:defRPr>
                    <a:latin typeface="Arial"/>
                    <a:cs typeface="Arial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Hoja4!$M$5:$M$11</c:f>
              <c:strCache>
                <c:ptCount val="7"/>
                <c:pt idx="0">
                  <c:v>U. A. Surcos Largos  S.de R.L.</c:v>
                </c:pt>
                <c:pt idx="1">
                  <c:v>GEO Edificaciones S.A. de C.V</c:v>
                </c:pt>
                <c:pt idx="2">
                  <c:v>Proyectos Inmobiliarios de Culiacan S.A. de C.V.</c:v>
                </c:pt>
                <c:pt idx="3">
                  <c:v>HATTIE, S.A. de C.V. </c:v>
                </c:pt>
                <c:pt idx="4">
                  <c:v>C. I. ZERO.</c:v>
                </c:pt>
                <c:pt idx="5">
                  <c:v>Promoción y Desarrollo URBI S.A. de C.V.</c:v>
                </c:pt>
                <c:pt idx="6">
                  <c:v>Hemajo de Atlacomulco S.A. de C.V.</c:v>
                </c:pt>
              </c:strCache>
            </c:strRef>
          </c:cat>
          <c:val>
            <c:numRef>
              <c:f>Hoja4!$N$5:$N$11</c:f>
              <c:numCache>
                <c:formatCode>#,##0</c:formatCode>
                <c:ptCount val="7"/>
                <c:pt idx="0" formatCode="General">
                  <c:v>1.0</c:v>
                </c:pt>
                <c:pt idx="1">
                  <c:v>3.0</c:v>
                </c:pt>
                <c:pt idx="2">
                  <c:v>2.0</c:v>
                </c:pt>
                <c:pt idx="3" formatCode="General">
                  <c:v>1.0</c:v>
                </c:pt>
                <c:pt idx="4" formatCode="General">
                  <c:v>1.0</c:v>
                </c:pt>
                <c:pt idx="5" formatCode="General">
                  <c:v>1.0</c:v>
                </c:pt>
                <c:pt idx="6">
                  <c:v>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10229304"/>
        <c:axId val="-2110223640"/>
        <c:axId val="0"/>
      </c:bar3DChart>
      <c:catAx>
        <c:axId val="-211022930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1">
                    <a:latin typeface="Times New Roman"/>
                    <a:cs typeface="Times New Roman"/>
                  </a:defRPr>
                </a:pPr>
                <a:r>
                  <a:rPr lang="es-ES" b="1">
                    <a:latin typeface="Times New Roman"/>
                    <a:cs typeface="Times New Roman"/>
                  </a:rPr>
                  <a:t>Desarrolladores inmobiliarios</a:t>
                </a:r>
              </a:p>
            </c:rich>
          </c:tx>
          <c:layout>
            <c:manualLayout>
              <c:xMode val="edge"/>
              <c:yMode val="edge"/>
              <c:x val="0.376841393159394"/>
              <c:y val="0.895989082789588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 b="1">
                <a:latin typeface="Times New Roman"/>
                <a:cs typeface="Times New Roman"/>
              </a:defRPr>
            </a:pPr>
            <a:endParaRPr lang="es-ES"/>
          </a:p>
        </c:txPr>
        <c:crossAx val="-2110223640"/>
        <c:crosses val="autoZero"/>
        <c:auto val="1"/>
        <c:lblAlgn val="ctr"/>
        <c:lblOffset val="100"/>
        <c:noMultiLvlLbl val="0"/>
      </c:catAx>
      <c:valAx>
        <c:axId val="-211022364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1">
                    <a:latin typeface="Times New Roman"/>
                    <a:cs typeface="Times New Roman"/>
                  </a:defRPr>
                </a:pPr>
                <a:r>
                  <a:rPr lang="es-ES" b="1">
                    <a:latin typeface="Times New Roman"/>
                    <a:cs typeface="Times New Roman"/>
                  </a:rPr>
                  <a:t>Conjuntos</a:t>
                </a:r>
                <a:r>
                  <a:rPr lang="es-ES" b="1" baseline="0">
                    <a:latin typeface="Times New Roman"/>
                    <a:cs typeface="Times New Roman"/>
                  </a:rPr>
                  <a:t> urbanos</a:t>
                </a:r>
                <a:endParaRPr lang="es-ES" b="1">
                  <a:latin typeface="Times New Roman"/>
                  <a:cs typeface="Times New Roman"/>
                </a:endParaRPr>
              </a:p>
            </c:rich>
          </c:tx>
          <c:layout>
            <c:manualLayout>
              <c:xMode val="edge"/>
              <c:yMode val="edge"/>
              <c:x val="0.0278482405268204"/>
              <c:y val="0.099615766675114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-21102293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chemeClr val="bg1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Hoja1!$K$40:$K$46</c:f>
              <c:strCache>
                <c:ptCount val="7"/>
                <c:pt idx="0">
                  <c:v>U.A. Surcos Largos SA de CV.</c:v>
                </c:pt>
                <c:pt idx="1">
                  <c:v>GEO S.A. de C.V.</c:v>
                </c:pt>
                <c:pt idx="2">
                  <c:v>Hemajo de atlacomulco S.A. De C.V.</c:v>
                </c:pt>
                <c:pt idx="3">
                  <c:v>Proyectos Inmobiliarios Culiacan SA de CV</c:v>
                </c:pt>
                <c:pt idx="4">
                  <c:v>HATTYE SA de CV</c:v>
                </c:pt>
                <c:pt idx="5">
                  <c:v>Consorcio Inmobiliario ZERO</c:v>
                </c:pt>
                <c:pt idx="6">
                  <c:v>URBI SA de CV</c:v>
                </c:pt>
              </c:strCache>
            </c:strRef>
          </c:cat>
          <c:val>
            <c:numRef>
              <c:f>Hoja1!$L$40:$L$46</c:f>
              <c:numCache>
                <c:formatCode>General</c:formatCode>
                <c:ptCount val="7"/>
                <c:pt idx="0">
                  <c:v>388.0</c:v>
                </c:pt>
                <c:pt idx="1">
                  <c:v>4955.0</c:v>
                </c:pt>
                <c:pt idx="2">
                  <c:v>121.0</c:v>
                </c:pt>
                <c:pt idx="3">
                  <c:v>3093.0</c:v>
                </c:pt>
                <c:pt idx="4">
                  <c:v>987.0</c:v>
                </c:pt>
                <c:pt idx="5">
                  <c:v>464.0</c:v>
                </c:pt>
                <c:pt idx="6">
                  <c:v>325.0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110196024"/>
        <c:axId val="-2110190328"/>
        <c:axId val="0"/>
      </c:bar3DChart>
      <c:catAx>
        <c:axId val="-211019602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>
                    <a:latin typeface="Times New Roman"/>
                    <a:cs typeface="Times New Roman"/>
                  </a:defRPr>
                </a:pPr>
                <a:r>
                  <a:rPr lang="es-ES">
                    <a:latin typeface="Times New Roman"/>
                    <a:cs typeface="Times New Roman"/>
                  </a:rPr>
                  <a:t>Desarrolladora inmobiliaria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Times New Roman"/>
                <a:cs typeface="Times New Roman"/>
              </a:defRPr>
            </a:pPr>
            <a:endParaRPr lang="es-ES"/>
          </a:p>
        </c:txPr>
        <c:crossAx val="-2110190328"/>
        <c:crosses val="autoZero"/>
        <c:auto val="1"/>
        <c:lblAlgn val="ctr"/>
        <c:lblOffset val="100"/>
        <c:noMultiLvlLbl val="0"/>
      </c:catAx>
      <c:valAx>
        <c:axId val="-21101903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/>
                    <a:cs typeface="Times New Roman"/>
                  </a:defRPr>
                </a:pPr>
                <a:r>
                  <a:rPr lang="es-ES">
                    <a:latin typeface="Times New Roman"/>
                    <a:cs typeface="Times New Roman"/>
                  </a:rPr>
                  <a:t>Viviendas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-21101960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682</Words>
  <Characters>3757</Characters>
  <Application>Microsoft Macintosh Word</Application>
  <DocSecurity>0</DocSecurity>
  <Lines>31</Lines>
  <Paragraphs>8</Paragraphs>
  <ScaleCrop>false</ScaleCrop>
  <Company>home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Lourdes Garcia</dc:creator>
  <cp:keywords/>
  <dc:description/>
  <cp:lastModifiedBy>Maria de Lourdes Garcia</cp:lastModifiedBy>
  <cp:revision>7</cp:revision>
  <dcterms:created xsi:type="dcterms:W3CDTF">2016-03-05T04:40:00Z</dcterms:created>
  <dcterms:modified xsi:type="dcterms:W3CDTF">2016-04-14T03:21:00Z</dcterms:modified>
</cp:coreProperties>
</file>